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BE61C3" w:rsidRPr="000602CA" w:rsidRDefault="002E0F54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UMOWA 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nr </w:t>
      </w:r>
      <w:r w:rsidR="004F6D73" w:rsidRPr="004F6D73">
        <w:rPr>
          <w:rFonts w:ascii="Times New Roman" w:eastAsia="Times New Roman" w:hAnsi="Times New Roman"/>
          <w:b/>
          <w:color w:val="393939"/>
          <w:sz w:val="24"/>
          <w:szCs w:val="24"/>
          <w:lang w:eastAsia="pl-PL"/>
        </w:rPr>
        <w:t xml:space="preserve">1/POIS/9.2/4WSK  </w:t>
      </w: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4F6D7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8B45D3" w:rsidRPr="002E445F" w:rsidRDefault="00BE61C3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jest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promocja projektu pn</w:t>
      </w:r>
      <w:r w:rsidR="00E73E6A" w:rsidRPr="00E73E6A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.: 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Projektu pn. "Zakup aparatury medycznej na potrzeby Zintegrowanego Bloku Operacyjnego w 4. Wojskowym Szpitalu Klinicznym z Poliklinik</w:t>
      </w:r>
      <w:r w:rsidR="002E445F" w:rsidRPr="002E445F">
        <w:rPr>
          <w:rFonts w:asciiTheme="minorHAnsi" w:eastAsia="Times New Roman" w:hAnsiTheme="minorHAnsi" w:cs="Arial" w:hint="eastAsia"/>
          <w:b/>
          <w:bCs/>
          <w:sz w:val="20"/>
          <w:szCs w:val="20"/>
          <w:lang w:eastAsia="pl-PL"/>
        </w:rPr>
        <w:t>ą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SP ZOZ we Wroc</w:t>
      </w:r>
      <w:r w:rsidR="002E445F" w:rsidRPr="002E445F">
        <w:rPr>
          <w:rFonts w:asciiTheme="minorHAnsi" w:eastAsia="Times New Roman" w:hAnsiTheme="minorHAnsi" w:cs="Arial" w:hint="eastAsia"/>
          <w:b/>
          <w:bCs/>
          <w:sz w:val="20"/>
          <w:szCs w:val="20"/>
          <w:lang w:eastAsia="pl-PL"/>
        </w:rPr>
        <w:t>ł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awiu </w:t>
      </w:r>
      <w:r w:rsid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- ETAP III” nr 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POIS.09.02.00-00-0076/17 w ramach dzia</w:t>
      </w:r>
      <w:r w:rsidR="002E445F" w:rsidRPr="002E445F">
        <w:rPr>
          <w:rFonts w:asciiTheme="minorHAnsi" w:eastAsia="Times New Roman" w:hAnsiTheme="minorHAnsi" w:cs="Arial" w:hint="eastAsia"/>
          <w:b/>
          <w:bCs/>
          <w:sz w:val="20"/>
          <w:szCs w:val="20"/>
          <w:lang w:eastAsia="pl-PL"/>
        </w:rPr>
        <w:t>ł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ania 9.2 </w:t>
      </w:r>
      <w:r w:rsidR="002E445F" w:rsidRPr="002E445F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pl-PL"/>
        </w:rPr>
        <w:t>Infrastruktura ponadregionalnych podmiotów leczniczych</w:t>
      </w:r>
      <w:r w:rsidR="008B45D3" w:rsidRPr="002E445F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</w:t>
      </w:r>
      <w:r w:rsidR="008B45D3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polegająca na: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informacyjnej.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 pamiątkowej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 i wykonaniu naklejek informacyjnych;</w:t>
      </w:r>
    </w:p>
    <w:p w:rsidR="00BE61C3" w:rsidRPr="000602CA" w:rsidRDefault="00BE61C3" w:rsidP="002E445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Zapytania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cenę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dnia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…………..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363448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zapoznawać się z ewentualnymi wskazówkami Zamawiającego dotyczącymi sposobu wykonywania przedmiotu umowy. Wskazówki będą przekazywane w formie pisemnej do rąk osoby upoważnionej do kontaktów z Zamawiającym za pokwitowaniem lub faksem, lub drogą elektroniczną w formie maila. Nieuwzględnienie wskazówek wymaga pisemnego uzasadnienia doręczonego do rąk osoby upoważnionej do kontaktów z Wykonawcą.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miejsca wskazane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Jeśli po trzykrotnym przedstawieniu projektu danego narzędzia do akceptacji Zamawiający nadal go nie akceptuje, lub jeśli Wykonawca nie naniósł w projekcie zmian wynikających z uwag Zamawiającego, Zamawiającemu 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zobowiązuje się przy realizacji zamówienia dochowywać terminów,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BE61C3" w:rsidRP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Zaakceptowanie przez Zamawiającego przedstawionych projektów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promocyjnych winno być potwierdzone pisemnie.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Niezwłocznie po wykonaniu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każdego z elementów przedmiotu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Wykonawca zawiadomi o tym Zamawiającego zgłaszając gotowość do odbioru. Zamawiający w ciągu 3 dni roboczych wyznaczy termin odbioru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miejsc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>e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dostawy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instalacji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nie dłuższy niż 7 dni roboczych od dnia zgłoszenia gotowości odbioru przez Wykonawcę.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BE61C3" w:rsidRPr="004D4EA0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Termin wykonania przedmiotu umowy, określony w załączniku nr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4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Zapytania ofertowego z dnia 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uzna się za dotrzymany, jeśli przed jego upływem zostanie podpisany przez Zamawiającego bezusterkowy protokół odbioru.</w:t>
      </w:r>
    </w:p>
    <w:p w:rsidR="004D4EA0" w:rsidRP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Całkowite wynagrodzenie Wykonawcy z tytułu realizacji przedmiotu niniejszej umowy wynosi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netto, powiększone o podatek VAT w kwocie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……………..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0264D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rutto. Wynagrodzenie ma charakter ryczałtowy i obejmuje wszelkie koszty realizacji zamówienia. Wykonawca nie może żądać podwyższenia wynagrodzenia ryczałtowego, 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Z tytułu nienależytego wykonania umowy Wykonawca zapłaci karę umowną: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za każdy dzień opóźnienia liczone od wartości elementu zamówienia, w odniesieniu do którego nastąpiło opóźnienie w realizacji zamówienia; 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nieterminowe usunięcie wskazanych przez Zamawiającego wad lub usterek w przedmiocie umowy w wysokości 1% wynagrodzenia ofertowego za każdy dzień opóźnienia liczone wartości elementu zamówienia, w odniesieniu do którego nastąpiło opóźnienie w usunięciu wad lub usterek</w:t>
      </w:r>
    </w:p>
    <w:p w:rsidR="001B4990" w:rsidRPr="000602CA" w:rsidRDefault="001B4990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odstąpić od umowy w przypadku, jeżeli Wykonawca opóźnia się z realizacją przedmiotu umowy tak dalece, że nie jest prawdopodobne, iż zdoła ukończyć go w terminie.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w stosunku do treści oferty, na podstawie której dokonano wyboru Wykonawcy, jeżeli wystąpi co najmniej jedna z poniżej wymienionych okoliczności: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po podpisaniu umowy doszło do wydłużenia okresu gwarancyjnego przez producenta, jeżeli nie wiąże się to ze wzrostem ceny;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lastRenderedPageBreak/>
        <w:t>zachodzi konieczność zmiany w zakresie podwykonawstwa, za uprzednią zgodą Zamawiającego: możliwe jest powierzenie podwykonawcom innego zakresu części zamówienia niż wskazany w ofercie Wykonawcy, a także możliwa jest zmiana podwykonawcy na etapie realizacji zamówienia,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</w:p>
    <w:p w:rsidR="00FA6CCF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7B4438">
        <w:rPr>
          <w:rFonts w:asciiTheme="minorHAnsi" w:hAnsiTheme="minorHAnsi" w:cs="Arial"/>
          <w:sz w:val="20"/>
          <w:szCs w:val="20"/>
        </w:rPr>
        <w:t xml:space="preserve">nastąpi zmiana terminu zakończenia realizacji projektu, określonego w umowie o dofinansowanie nr </w:t>
      </w:r>
      <w:r w:rsidR="00FA6CCF" w:rsidRPr="007B4438">
        <w:rPr>
          <w:rFonts w:asciiTheme="minorHAnsi" w:hAnsiTheme="minorHAnsi" w:cs="Arial"/>
          <w:sz w:val="20"/>
          <w:szCs w:val="20"/>
        </w:rPr>
        <w:t>PO</w:t>
      </w:r>
      <w:r w:rsidR="006B33AF">
        <w:rPr>
          <w:rFonts w:asciiTheme="minorHAnsi" w:hAnsiTheme="minorHAnsi" w:cs="Arial"/>
          <w:sz w:val="20"/>
          <w:szCs w:val="20"/>
        </w:rPr>
        <w:t>IS.09.02.00-00-0076/17-00/</w:t>
      </w:r>
      <w:r w:rsidR="00FA6CCF" w:rsidRPr="007B4438">
        <w:rPr>
          <w:rFonts w:asciiTheme="minorHAnsi" w:hAnsiTheme="minorHAnsi" w:cs="Arial"/>
          <w:sz w:val="20"/>
          <w:szCs w:val="20"/>
        </w:rPr>
        <w:t>127/2018/43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bookmarkStart w:id="0" w:name="_GoBack"/>
      <w:bookmarkEnd w:id="0"/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7A" w:rsidRDefault="00AF287A" w:rsidP="00923A1E">
      <w:pPr>
        <w:spacing w:after="0" w:line="240" w:lineRule="auto"/>
      </w:pPr>
      <w:r>
        <w:separator/>
      </w:r>
    </w:p>
  </w:endnote>
  <w:endnote w:type="continuationSeparator" w:id="0">
    <w:p w:rsidR="00AF287A" w:rsidRDefault="00AF287A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363448">
      <w:rPr>
        <w:rFonts w:asciiTheme="minorHAnsi" w:hAnsiTheme="minorHAnsi" w:cs="Arial"/>
        <w:noProof/>
        <w:sz w:val="20"/>
        <w:szCs w:val="20"/>
      </w:rPr>
      <w:t>6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7A" w:rsidRDefault="00AF287A" w:rsidP="00923A1E">
      <w:pPr>
        <w:spacing w:after="0" w:line="240" w:lineRule="auto"/>
      </w:pPr>
      <w:r>
        <w:separator/>
      </w:r>
    </w:p>
  </w:footnote>
  <w:footnote w:type="continuationSeparator" w:id="0">
    <w:p w:rsidR="00AF287A" w:rsidRDefault="00AF287A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B244B4" w:rsidP="004F6D73">
    <w:pPr>
      <w:pStyle w:val="Nagwek"/>
      <w:tabs>
        <w:tab w:val="clear" w:pos="4536"/>
        <w:tab w:val="clear" w:pos="9072"/>
        <w:tab w:val="left" w:pos="276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135A37" wp14:editId="1478ABC7">
          <wp:simplePos x="0" y="0"/>
          <wp:positionH relativeFrom="column">
            <wp:posOffset>159385</wp:posOffset>
          </wp:positionH>
          <wp:positionV relativeFrom="paragraph">
            <wp:posOffset>-495300</wp:posOffset>
          </wp:positionV>
          <wp:extent cx="5448300" cy="1090930"/>
          <wp:effectExtent l="0" t="0" r="0" b="0"/>
          <wp:wrapNone/>
          <wp:docPr id="2" name="Obraz 2" descr="C:\Users\Lekarz\Desktop\ZBO  9.2 zakup aparatury\PROMOCJA\wzór POIS_barwy RP_EFRR\POLSKI\poziom\FE_POIS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karz\Desktop\ZBO  9.2 zakup aparatury\PROMOCJA\wzór POIS_barwy RP_EFRR\POLSKI\poziom\FE_POIS_poziom_pl-2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73">
      <w:tab/>
    </w:r>
  </w:p>
  <w:p w:rsidR="004F6D73" w:rsidRDefault="004F6D73" w:rsidP="004F6D73">
    <w:pPr>
      <w:pStyle w:val="Nagwek"/>
    </w:pPr>
  </w:p>
  <w:p w:rsidR="004F6D73" w:rsidRDefault="004F6D73" w:rsidP="004F6D73">
    <w:pPr>
      <w:pStyle w:val="Nagwek"/>
      <w:jc w:val="center"/>
    </w:pPr>
    <w:r w:rsidRPr="00E62331">
      <w:t>"Zakup aparatury medycznej na potrzeby Zintegrowanego Bloku Operacyjnego w 4. Wojskowym Szpitalu Klinicznym z Polikliniką SP ZOZ we Wrocławiu - ETAP III"</w:t>
    </w:r>
  </w:p>
  <w:p w:rsidR="004F6D73" w:rsidRPr="004F6D73" w:rsidRDefault="004F6D73" w:rsidP="004F6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392E0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5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7"/>
  </w:num>
  <w:num w:numId="21">
    <w:abstractNumId w:val="17"/>
  </w:num>
  <w:num w:numId="22">
    <w:abstractNumId w:val="9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602CA"/>
    <w:rsid w:val="000B5A5E"/>
    <w:rsid w:val="000E41D7"/>
    <w:rsid w:val="00190C0E"/>
    <w:rsid w:val="00194F83"/>
    <w:rsid w:val="001B4990"/>
    <w:rsid w:val="001D1499"/>
    <w:rsid w:val="001D3224"/>
    <w:rsid w:val="00210824"/>
    <w:rsid w:val="00217402"/>
    <w:rsid w:val="00273E6F"/>
    <w:rsid w:val="002B6F84"/>
    <w:rsid w:val="002E04F3"/>
    <w:rsid w:val="002E0F54"/>
    <w:rsid w:val="002E445F"/>
    <w:rsid w:val="003135EB"/>
    <w:rsid w:val="00340BC0"/>
    <w:rsid w:val="00355969"/>
    <w:rsid w:val="00363448"/>
    <w:rsid w:val="003D481C"/>
    <w:rsid w:val="00430346"/>
    <w:rsid w:val="00476774"/>
    <w:rsid w:val="00476F57"/>
    <w:rsid w:val="00493AA7"/>
    <w:rsid w:val="004C276D"/>
    <w:rsid w:val="004D4EA0"/>
    <w:rsid w:val="004F3C3B"/>
    <w:rsid w:val="004F6D73"/>
    <w:rsid w:val="00550B13"/>
    <w:rsid w:val="0056360E"/>
    <w:rsid w:val="0059332A"/>
    <w:rsid w:val="00613B2C"/>
    <w:rsid w:val="006436F6"/>
    <w:rsid w:val="00691765"/>
    <w:rsid w:val="006B33AF"/>
    <w:rsid w:val="006C42C3"/>
    <w:rsid w:val="00724167"/>
    <w:rsid w:val="00735F5E"/>
    <w:rsid w:val="007B4438"/>
    <w:rsid w:val="007C3FFD"/>
    <w:rsid w:val="007C67B8"/>
    <w:rsid w:val="007F0B66"/>
    <w:rsid w:val="00847CA7"/>
    <w:rsid w:val="008B45D3"/>
    <w:rsid w:val="008E18C4"/>
    <w:rsid w:val="00923A1E"/>
    <w:rsid w:val="00942D39"/>
    <w:rsid w:val="00972E7D"/>
    <w:rsid w:val="009E624B"/>
    <w:rsid w:val="009F7EF6"/>
    <w:rsid w:val="00A11929"/>
    <w:rsid w:val="00A24C3D"/>
    <w:rsid w:val="00A9739A"/>
    <w:rsid w:val="00AD3EB9"/>
    <w:rsid w:val="00AF287A"/>
    <w:rsid w:val="00B063BE"/>
    <w:rsid w:val="00B244B4"/>
    <w:rsid w:val="00BC798F"/>
    <w:rsid w:val="00BE61C3"/>
    <w:rsid w:val="00C725D1"/>
    <w:rsid w:val="00C87498"/>
    <w:rsid w:val="00C96263"/>
    <w:rsid w:val="00CF447A"/>
    <w:rsid w:val="00D55E20"/>
    <w:rsid w:val="00D6475E"/>
    <w:rsid w:val="00D957D3"/>
    <w:rsid w:val="00DA2349"/>
    <w:rsid w:val="00DA75DA"/>
    <w:rsid w:val="00E73E6A"/>
    <w:rsid w:val="00E769E6"/>
    <w:rsid w:val="00EA2BE6"/>
    <w:rsid w:val="00EB2BC2"/>
    <w:rsid w:val="00ED3ACC"/>
    <w:rsid w:val="00F2375E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E9EAF-3133-4E68-9C84-D1260A36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Lekarz</cp:lastModifiedBy>
  <cp:revision>2</cp:revision>
  <cp:lastPrinted>2018-04-09T09:17:00Z</cp:lastPrinted>
  <dcterms:created xsi:type="dcterms:W3CDTF">2018-04-11T11:43:00Z</dcterms:created>
  <dcterms:modified xsi:type="dcterms:W3CDTF">2018-04-11T11:43:00Z</dcterms:modified>
</cp:coreProperties>
</file>