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Pr="00593BF6">
        <w:rPr>
          <w:sz w:val="24"/>
        </w:rPr>
        <w:t>WZÓR UMOWY -  LEKARZ/</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7024D2">
        <w:rPr>
          <w:rFonts w:ascii="Times New Roman" w:hAnsi="Times New Roman" w:cs="Times New Roman"/>
          <w:sz w:val="24"/>
          <w:szCs w:val="24"/>
        </w:rPr>
        <w:t>3</w:t>
      </w:r>
      <w:r w:rsidR="00FA6C83">
        <w:rPr>
          <w:rFonts w:ascii="Times New Roman" w:hAnsi="Times New Roman" w:cs="Times New Roman"/>
          <w:sz w:val="24"/>
          <w:szCs w:val="24"/>
        </w:rPr>
        <w:t>8</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954450" w:rsidRPr="00954450" w:rsidRDefault="00B53539" w:rsidP="00954450">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p>
    <w:p w:rsidR="0035417C" w:rsidRPr="00954450" w:rsidRDefault="00275A9F" w:rsidP="00954450">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4E6A05" w:rsidRPr="00390E96" w:rsidRDefault="0080715F" w:rsidP="00275A9F">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275A9F" w:rsidRPr="00AC6DA0">
        <w:rPr>
          <w:rFonts w:ascii="Times New Roman" w:hAnsi="Times New Roman" w:cs="Times New Roman"/>
          <w:color w:val="000000"/>
          <w:sz w:val="24"/>
        </w:rPr>
        <w:t xml:space="preserve">zamówienie zobowiązuje się do ciągłości udzielania świadczeń uwzględniających pracę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B07662">
        <w:rPr>
          <w:rFonts w:ascii="Times New Roman" w:hAnsi="Times New Roman" w:cs="Times New Roman"/>
          <w:color w:val="000000"/>
          <w:sz w:val="24"/>
        </w:rPr>
        <w:t>(</w:t>
      </w:r>
      <w:r w:rsidR="00275A9F">
        <w:rPr>
          <w:rFonts w:ascii="Times New Roman" w:hAnsi="Times New Roman" w:cs="Times New Roman"/>
          <w:color w:val="000000"/>
          <w:sz w:val="24"/>
        </w:rPr>
        <w:t>zwan</w:t>
      </w:r>
      <w:r w:rsidR="003B2B6A">
        <w:rPr>
          <w:rFonts w:ascii="Times New Roman" w:hAnsi="Times New Roman" w:cs="Times New Roman"/>
          <w:color w:val="000000"/>
          <w:sz w:val="24"/>
        </w:rPr>
        <w:t>ych</w:t>
      </w:r>
      <w:r w:rsidR="00275A9F" w:rsidRPr="00B07662">
        <w:rPr>
          <w:rFonts w:ascii="Times New Roman" w:hAnsi="Times New Roman" w:cs="Times New Roman"/>
          <w:color w:val="000000"/>
          <w:sz w:val="24"/>
        </w:rPr>
        <w:t xml:space="preserve"> </w:t>
      </w:r>
      <w:r w:rsidR="00B53539">
        <w:rPr>
          <w:rFonts w:ascii="Times New Roman" w:hAnsi="Times New Roman" w:cs="Times New Roman"/>
          <w:color w:val="000000"/>
          <w:sz w:val="24"/>
        </w:rPr>
        <w:t>...................</w:t>
      </w:r>
      <w:r w:rsidR="00275A9F">
        <w:rPr>
          <w:rFonts w:ascii="Times New Roman" w:hAnsi="Times New Roman" w:cs="Times New Roman"/>
          <w:color w:val="000000"/>
          <w:sz w:val="24"/>
        </w:rPr>
        <w:t xml:space="preserve">) </w:t>
      </w:r>
      <w:r w:rsidR="00275A9F" w:rsidRPr="00AC6DA0">
        <w:rPr>
          <w:rFonts w:ascii="Times New Roman" w:hAnsi="Times New Roman" w:cs="Times New Roman"/>
          <w:color w:val="000000"/>
          <w:sz w:val="24"/>
        </w:rPr>
        <w:t>w systemie pracy całodobow</w:t>
      </w:r>
      <w:r w:rsidR="00275A9F">
        <w:rPr>
          <w:rFonts w:ascii="Times New Roman" w:hAnsi="Times New Roman" w:cs="Times New Roman"/>
          <w:color w:val="000000"/>
          <w:sz w:val="24"/>
        </w:rPr>
        <w:t xml:space="preserve">ej przez siedem dni w tygodniu, </w:t>
      </w:r>
      <w:r w:rsidR="00275A9F" w:rsidRPr="004F6943">
        <w:rPr>
          <w:rFonts w:ascii="Times New Roman" w:hAnsi="Times New Roman" w:cs="Times New Roman"/>
          <w:color w:val="000000"/>
          <w:sz w:val="24"/>
        </w:rPr>
        <w:t>w godzinach</w:t>
      </w:r>
      <w:r w:rsidR="00275A9F" w:rsidRPr="00AC6DA0">
        <w:rPr>
          <w:rFonts w:ascii="Times New Roman" w:hAnsi="Times New Roman" w:cs="Times New Roman"/>
          <w:color w:val="000000"/>
          <w:sz w:val="24"/>
        </w:rPr>
        <w:t xml:space="preserve"> ustalonych w harmonogramie pracy </w:t>
      </w:r>
      <w:r w:rsidR="004916F6">
        <w:rPr>
          <w:rFonts w:ascii="Times New Roman" w:hAnsi="Times New Roman" w:cs="Times New Roman"/>
          <w:color w:val="000000"/>
          <w:sz w:val="24"/>
        </w:rPr>
        <w:t>...........................</w:t>
      </w:r>
      <w:r w:rsidR="00275A9F" w:rsidRPr="00AC36CD">
        <w:rPr>
          <w:rFonts w:ascii="Times New Roman" w:hAnsi="Times New Roman" w:cs="Times New Roman"/>
          <w:b/>
          <w:sz w:val="24"/>
          <w:szCs w:val="24"/>
        </w:rPr>
        <w:t xml:space="preserve"> </w:t>
      </w:r>
      <w:r w:rsidR="00275A9F" w:rsidRPr="00781CA8">
        <w:rPr>
          <w:rFonts w:ascii="Times New Roman" w:hAnsi="Times New Roman" w:cs="Times New Roman"/>
          <w:b/>
          <w:bCs/>
          <w:sz w:val="24"/>
          <w:szCs w:val="24"/>
        </w:rPr>
        <w:t>(..................................)</w:t>
      </w:r>
      <w:r w:rsidR="00390E96">
        <w:rPr>
          <w:rFonts w:ascii="Times New Roman" w:hAnsi="Times New Roman" w:cs="Times New Roman"/>
          <w:b/>
          <w:bCs/>
          <w:sz w:val="24"/>
          <w:szCs w:val="24"/>
        </w:rPr>
        <w:t xml:space="preserve"> </w:t>
      </w:r>
      <w:r w:rsidR="00390E96" w:rsidRPr="00390E96">
        <w:rPr>
          <w:rFonts w:ascii="Times New Roman" w:hAnsi="Times New Roman" w:cs="Times New Roman"/>
          <w:bCs/>
          <w:sz w:val="24"/>
          <w:szCs w:val="24"/>
        </w:rPr>
        <w:t>w ramach dyżurów medycznych i na wezwanie</w:t>
      </w:r>
      <w:r w:rsidR="00390E96">
        <w:rPr>
          <w:rFonts w:ascii="Times New Roman" w:hAnsi="Times New Roman" w:cs="Times New Roman"/>
          <w:bCs/>
          <w:sz w:val="24"/>
          <w:szCs w:val="24"/>
        </w:rPr>
        <w:t xml:space="preserve"> – jeżeli dotyczy</w:t>
      </w:r>
      <w:r w:rsidR="003B2B6A" w:rsidRPr="00390E96">
        <w:rPr>
          <w:rFonts w:ascii="Times New Roman" w:hAnsi="Times New Roman" w:cs="Times New Roman"/>
          <w:bCs/>
          <w:sz w:val="24"/>
          <w:szCs w:val="24"/>
        </w:rPr>
        <w:t>.</w:t>
      </w:r>
    </w:p>
    <w:p w:rsidR="0022716C" w:rsidRPr="004E6A05" w:rsidRDefault="00450C38" w:rsidP="00657398">
      <w:pPr>
        <w:pStyle w:val="Bezodstpw"/>
        <w:numPr>
          <w:ilvl w:val="0"/>
          <w:numId w:val="1"/>
        </w:numPr>
        <w:jc w:val="both"/>
        <w:rPr>
          <w:rFonts w:ascii="Times New Roman" w:hAnsi="Times New Roman" w:cs="Times New Roman"/>
          <w:color w:val="000000"/>
          <w:sz w:val="24"/>
        </w:rPr>
      </w:pPr>
      <w:r w:rsidRPr="004E6A05">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t>
      </w:r>
      <w:r w:rsidR="00C232E4" w:rsidRPr="004E6A05">
        <w:rPr>
          <w:rFonts w:ascii="Times New Roman" w:hAnsi="Times New Roman" w:cs="Times New Roman"/>
          <w:color w:val="000000"/>
          <w:sz w:val="24"/>
        </w:rPr>
        <w:t>Przyjmującego zamówienie</w:t>
      </w:r>
      <w:r w:rsidRPr="004E6A05">
        <w:rPr>
          <w:rFonts w:ascii="Times New Roman" w:hAnsi="Times New Roman" w:cs="Times New Roman"/>
          <w:color w:val="000000"/>
          <w:sz w:val="24"/>
        </w:rPr>
        <w:t>.</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275A9F" w:rsidRPr="0066227F" w:rsidRDefault="00275A9F" w:rsidP="00275A9F">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275A9F" w:rsidRPr="0066227F" w:rsidRDefault="00275A9F" w:rsidP="00275A9F">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75A9F" w:rsidRDefault="00275A9F" w:rsidP="00275A9F">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sidRPr="0066227F">
        <w:rPr>
          <w:color w:val="000000"/>
          <w:sz w:val="24"/>
        </w:rPr>
        <w:t xml:space="preserve">będzie </w:t>
      </w:r>
      <w:r>
        <w:rPr>
          <w:bCs/>
          <w:color w:val="000000"/>
          <w:sz w:val="24"/>
        </w:rPr>
        <w:t>Kierownik</w:t>
      </w:r>
      <w:r w:rsidRPr="0026155C">
        <w:rPr>
          <w:bCs/>
          <w:color w:val="000000"/>
          <w:sz w:val="24"/>
        </w:rPr>
        <w:t xml:space="preserve"> </w:t>
      </w:r>
      <w:r w:rsidR="00B53539">
        <w:rPr>
          <w:color w:val="000000"/>
          <w:sz w:val="24"/>
        </w:rPr>
        <w:t>......................</w:t>
      </w:r>
      <w:r w:rsidRPr="0035417C">
        <w:rPr>
          <w:color w:val="000000"/>
          <w:sz w:val="24"/>
        </w:rPr>
        <w:t>,</w:t>
      </w:r>
      <w:r>
        <w:rPr>
          <w:color w:val="000000"/>
          <w:sz w:val="24"/>
        </w:rPr>
        <w:t xml:space="preserve"> który</w:t>
      </w:r>
      <w:r w:rsidRPr="0066227F">
        <w:rPr>
          <w:color w:val="000000"/>
          <w:sz w:val="24"/>
        </w:rPr>
        <w:t xml:space="preserve"> w sprawach związanych z funkcjonowaniem </w:t>
      </w:r>
      <w:r>
        <w:rPr>
          <w:rFonts w:eastAsia="Calibri"/>
          <w:color w:val="000000"/>
          <w:sz w:val="24"/>
          <w:szCs w:val="22"/>
        </w:rPr>
        <w:t>oddziału</w:t>
      </w:r>
      <w:r w:rsidR="00387F0E">
        <w:rPr>
          <w:rFonts w:eastAsia="Calibri"/>
          <w:color w:val="000000"/>
          <w:sz w:val="24"/>
          <w:szCs w:val="22"/>
        </w:rPr>
        <w:t xml:space="preserve"> i poradni</w:t>
      </w:r>
      <w:r>
        <w:rPr>
          <w:rFonts w:eastAsia="Calibri"/>
          <w:color w:val="000000"/>
          <w:sz w:val="24"/>
          <w:szCs w:val="22"/>
        </w:rPr>
        <w:t xml:space="preserve"> </w:t>
      </w:r>
      <w:r w:rsidRPr="0066227F">
        <w:rPr>
          <w:color w:val="000000"/>
          <w:sz w:val="24"/>
        </w:rPr>
        <w:t>repreze</w:t>
      </w:r>
      <w:r>
        <w:rPr>
          <w:color w:val="000000"/>
          <w:sz w:val="24"/>
        </w:rPr>
        <w:t>ntują Udzielającego zamówienia.</w:t>
      </w:r>
    </w:p>
    <w:p w:rsidR="00275A9F" w:rsidRPr="00617BEE" w:rsidRDefault="00275A9F" w:rsidP="00275A9F">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B53539">
        <w:rPr>
          <w:rFonts w:eastAsia="Calibri"/>
          <w:color w:val="000000"/>
          <w:sz w:val="24"/>
          <w:szCs w:val="22"/>
        </w:rPr>
        <w:t>.....................</w:t>
      </w:r>
      <w:r w:rsidR="00387F0E">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FA6C83" w:rsidRDefault="00FA6C83"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22</w:t>
      </w:r>
      <w:r w:rsidR="00217D9F" w:rsidRPr="0079473C">
        <w:t xml:space="preserve">r. poz. </w:t>
      </w:r>
      <w:r w:rsidR="00217D9F">
        <w:t>1876</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F9209C" w:rsidRDefault="00F9209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F9209C" w:rsidRDefault="00F9209C"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9250CB" w:rsidRDefault="009250CB" w:rsidP="009250CB">
      <w:pPr>
        <w:jc w:val="center"/>
        <w:rPr>
          <w:sz w:val="24"/>
          <w:szCs w:val="24"/>
        </w:rPr>
      </w:pPr>
      <w:r>
        <w:rPr>
          <w:sz w:val="24"/>
        </w:rPr>
        <w:lastRenderedPageBreak/>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366789" w:rsidRDefault="00366789" w:rsidP="009250CB">
      <w:pPr>
        <w:jc w:val="center"/>
        <w:rPr>
          <w:sz w:val="24"/>
        </w:rPr>
      </w:pP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366789" w:rsidRDefault="00366789" w:rsidP="009250CB">
      <w:pPr>
        <w:pStyle w:val="Tekstpodstawowy"/>
        <w:jc w:val="cente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Kierownika Oddziału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366789" w:rsidRDefault="00366789" w:rsidP="009250CB">
      <w:pPr>
        <w:pStyle w:val="Tekstpodstawowy"/>
        <w:jc w:val="center"/>
      </w:pPr>
    </w:p>
    <w:p w:rsidR="00366789" w:rsidRDefault="00366789"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366789" w:rsidRDefault="00366789"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366789" w:rsidRDefault="00366789" w:rsidP="005D2CF7">
      <w:pPr>
        <w:tabs>
          <w:tab w:val="left" w:pos="4134"/>
          <w:tab w:val="center" w:pos="4781"/>
        </w:tabs>
        <w:jc w:val="center"/>
        <w:rPr>
          <w:sz w:val="24"/>
        </w:rPr>
      </w:pP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1" w:name="_Hlk36474711"/>
    </w:p>
    <w:p w:rsidR="00584374" w:rsidRPr="00BB1873" w:rsidRDefault="000510E7" w:rsidP="00BB1873">
      <w:pPr>
        <w:tabs>
          <w:tab w:val="left" w:pos="397"/>
          <w:tab w:val="left" w:pos="3899"/>
          <w:tab w:val="center" w:pos="4781"/>
        </w:tabs>
        <w:ind w:left="397"/>
        <w:rPr>
          <w:sz w:val="24"/>
        </w:rPr>
      </w:pPr>
      <w:bookmarkStart w:id="2" w:name="_Hlk37763574"/>
      <w:r>
        <w:rPr>
          <w:b/>
          <w:sz w:val="24"/>
          <w:szCs w:val="24"/>
        </w:rPr>
        <w:t>Zgodnie z formularzem ofertowym</w:t>
      </w:r>
    </w:p>
    <w:bookmarkEnd w:id="2"/>
    <w:bookmarkEnd w:id="1"/>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 xml:space="preserve">faktury </w:t>
      </w:r>
      <w:r w:rsidR="00FA6C83" w:rsidRPr="00EB2817">
        <w:rPr>
          <w:sz w:val="24"/>
          <w:u w:val="single"/>
        </w:rPr>
        <w:t>(w rozbiciu na przepracowane godziny w zakresie godzin poz</w:t>
      </w:r>
      <w:r w:rsidR="00FA6C83">
        <w:rPr>
          <w:sz w:val="24"/>
          <w:u w:val="single"/>
        </w:rPr>
        <w:t>adyżurowych i w zakresie godzin</w:t>
      </w:r>
      <w:r w:rsidR="00FA6C83" w:rsidRPr="00EB2817">
        <w:rPr>
          <w:sz w:val="24"/>
          <w:u w:val="single"/>
        </w:rPr>
        <w:t xml:space="preserve"> dyżuru medycznego)</w:t>
      </w:r>
      <w:r w:rsidR="00FA6C83">
        <w:rPr>
          <w:sz w:val="24"/>
          <w:u w:val="single"/>
        </w:rPr>
        <w:t xml:space="preserve"> </w:t>
      </w:r>
      <w:r>
        <w:rPr>
          <w:b/>
          <w:sz w:val="24"/>
        </w:rPr>
        <w:t>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Kierownika </w:t>
      </w:r>
      <w:r w:rsidR="00B53539">
        <w:rPr>
          <w:sz w:val="24"/>
        </w:rPr>
        <w:t>.........................................</w:t>
      </w:r>
      <w:r w:rsidR="00387F0E">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387F0E" w:rsidRDefault="00387F0E" w:rsidP="00874784">
      <w:pPr>
        <w:jc w:val="center"/>
        <w:rPr>
          <w:sz w:val="24"/>
        </w:rPr>
      </w:pP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lastRenderedPageBreak/>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275A9F" w:rsidRDefault="00275A9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724B7" w:rsidRDefault="00E724B7"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F9209C" w:rsidRDefault="00F9209C"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F9209C" w:rsidRDefault="00F9209C" w:rsidP="009250CB">
      <w:pPr>
        <w:jc w:val="center"/>
        <w:rPr>
          <w:sz w:val="24"/>
        </w:rPr>
      </w:pP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F9209C" w:rsidRDefault="00F9209C" w:rsidP="009250CB">
      <w:pPr>
        <w:jc w:val="center"/>
        <w:rPr>
          <w:sz w:val="24"/>
        </w:rPr>
      </w:pP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387F0E" w:rsidRDefault="00387F0E"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275A9F" w:rsidRDefault="00275A9F"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387F0E" w:rsidRDefault="00387F0E" w:rsidP="009250CB">
      <w:pPr>
        <w:jc w:val="center"/>
        <w:rPr>
          <w:sz w:val="24"/>
        </w:rPr>
      </w:pPr>
    </w:p>
    <w:p w:rsidR="00387F0E" w:rsidRDefault="00387F0E" w:rsidP="009250CB">
      <w:pPr>
        <w:jc w:val="center"/>
        <w:rPr>
          <w:sz w:val="24"/>
        </w:rPr>
      </w:pPr>
    </w:p>
    <w:p w:rsidR="00366789" w:rsidRDefault="00366789" w:rsidP="009250CB">
      <w:pPr>
        <w:jc w:val="center"/>
        <w:rPr>
          <w:sz w:val="24"/>
        </w:rPr>
      </w:pPr>
    </w:p>
    <w:p w:rsidR="009250CB" w:rsidRDefault="009250CB" w:rsidP="009250CB">
      <w:pPr>
        <w:jc w:val="center"/>
        <w:rPr>
          <w:sz w:val="24"/>
        </w:rPr>
      </w:pPr>
      <w:r>
        <w:rPr>
          <w:sz w:val="24"/>
        </w:rPr>
        <w:lastRenderedPageBreak/>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bookmarkStart w:id="3" w:name="_GoBack"/>
      <w:bookmarkEnd w:id="3"/>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lastRenderedPageBreak/>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E2176E">
      <w:rPr>
        <w:noProof/>
      </w:rPr>
      <w:t>9</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E7E"/>
    <w:rsid w:val="00450C38"/>
    <w:rsid w:val="004668D7"/>
    <w:rsid w:val="00467103"/>
    <w:rsid w:val="00484C77"/>
    <w:rsid w:val="00485C6A"/>
    <w:rsid w:val="004916F6"/>
    <w:rsid w:val="004925D5"/>
    <w:rsid w:val="004B5F1F"/>
    <w:rsid w:val="004C51C7"/>
    <w:rsid w:val="004C6831"/>
    <w:rsid w:val="004D74DF"/>
    <w:rsid w:val="004E6A05"/>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3266E"/>
    <w:rsid w:val="0075601E"/>
    <w:rsid w:val="00773B75"/>
    <w:rsid w:val="00775FFE"/>
    <w:rsid w:val="00781CA8"/>
    <w:rsid w:val="007914F4"/>
    <w:rsid w:val="0079473C"/>
    <w:rsid w:val="007A0ECF"/>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B2D9"/>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9</Pages>
  <Words>3754</Words>
  <Characters>22526</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120</cp:revision>
  <cp:lastPrinted>2022-04-21T10:59:00Z</cp:lastPrinted>
  <dcterms:created xsi:type="dcterms:W3CDTF">2018-08-22T06:38:00Z</dcterms:created>
  <dcterms:modified xsi:type="dcterms:W3CDTF">2023-07-13T12:40:00Z</dcterms:modified>
</cp:coreProperties>
</file>