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004271D5">
        <w:rPr>
          <w:sz w:val="24"/>
        </w:rPr>
        <w:t xml:space="preserve"> Z WYKONYWANIEM FUNKCJI KIEWROWNICZYCH</w:t>
      </w:r>
      <w:r w:rsidR="004271D5" w:rsidRPr="00593BF6">
        <w:rPr>
          <w:sz w:val="24"/>
        </w:rPr>
        <w:t xml:space="preserve"> </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96A41">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96A41">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BC1962" w:rsidRPr="00BC1962">
        <w:rPr>
          <w:bCs/>
          <w:sz w:val="24"/>
          <w:szCs w:val="24"/>
          <w:u w:val="single"/>
        </w:rPr>
        <w:t>psychiatrii wraz z wykonywaniem czynności Kierownika Klinicznego Oddziału Psychiatrycznego i Leczenia Stresu Bojowego oraz doradcy budżetowo - sprzedażowego</w:t>
      </w:r>
      <w:r w:rsidR="00496A41" w:rsidRPr="00496A41">
        <w:rPr>
          <w:bCs/>
          <w:sz w:val="24"/>
          <w:szCs w:val="24"/>
          <w:u w:val="single"/>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BC1962" w:rsidRDefault="00BC1962" w:rsidP="00BC1962">
      <w:pPr>
        <w:pStyle w:val="Bezodstpw"/>
        <w:numPr>
          <w:ilvl w:val="0"/>
          <w:numId w:val="22"/>
        </w:numPr>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samodzielne wykonywanie badań i konsultacji,</w:t>
      </w:r>
    </w:p>
    <w:p w:rsidR="00BC1962" w:rsidRPr="00ED118F" w:rsidRDefault="00BC1962" w:rsidP="00BC1962">
      <w:pPr>
        <w:pStyle w:val="Bezodstpw"/>
        <w:numPr>
          <w:ilvl w:val="0"/>
          <w:numId w:val="22"/>
        </w:numPr>
        <w:rPr>
          <w:rFonts w:ascii="Times New Roman" w:eastAsia="Times New Roman" w:hAnsi="Times New Roman" w:cs="Times New Roman"/>
          <w:sz w:val="24"/>
          <w:szCs w:val="24"/>
          <w:lang w:eastAsia="pl-PL"/>
        </w:rPr>
      </w:pPr>
      <w:r w:rsidRPr="00ED118F">
        <w:rPr>
          <w:rFonts w:ascii="Times New Roman" w:eastAsia="Times New Roman" w:hAnsi="Times New Roman" w:cs="Times New Roman"/>
          <w:sz w:val="24"/>
          <w:szCs w:val="24"/>
          <w:lang w:eastAsia="pl-PL"/>
        </w:rPr>
        <w:t xml:space="preserve">organizowanie pracy w celu zapewnienia ciągłości udzielania świadczeń zdrowotnych </w:t>
      </w:r>
    </w:p>
    <w:p w:rsidR="00BC1962" w:rsidRPr="002C1C72" w:rsidRDefault="00BC1962" w:rsidP="00BC1962">
      <w:pPr>
        <w:pStyle w:val="Bezodstpw"/>
        <w:ind w:left="720"/>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 xml:space="preserve"> i stałego nadzoru nad pacjentami,</w:t>
      </w:r>
    </w:p>
    <w:p w:rsidR="00BC1962" w:rsidRPr="002C1C72" w:rsidRDefault="00BC1962" w:rsidP="00BC1962">
      <w:pPr>
        <w:pStyle w:val="Bezodstpw"/>
        <w:numPr>
          <w:ilvl w:val="0"/>
          <w:numId w:val="22"/>
        </w:numPr>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sporządzanie planu pracy, rozkładu zajęć i kontrola realizacji zadań Oddziału,</w:t>
      </w:r>
    </w:p>
    <w:p w:rsidR="00BC1962" w:rsidRPr="002C1C72" w:rsidRDefault="00BC1962" w:rsidP="00BC1962">
      <w:pPr>
        <w:pStyle w:val="Bezodstpw"/>
        <w:numPr>
          <w:ilvl w:val="0"/>
          <w:numId w:val="22"/>
        </w:numPr>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 xml:space="preserve">analizowanie i planowanie działalności dla celów kontraktowania świadczeń zdrowotnych      </w:t>
      </w:r>
    </w:p>
    <w:p w:rsidR="00BC1962" w:rsidRPr="002C1C72" w:rsidRDefault="00BC1962" w:rsidP="00BC1962">
      <w:pPr>
        <w:pStyle w:val="Bezodstpw"/>
        <w:ind w:left="720"/>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 xml:space="preserve"> lub  innych umów,</w:t>
      </w:r>
    </w:p>
    <w:p w:rsidR="00BC1962" w:rsidRPr="002C1C72" w:rsidRDefault="00BC1962" w:rsidP="00BC1962">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C1C72">
        <w:rPr>
          <w:rFonts w:ascii="Times New Roman" w:eastAsia="Times New Roman" w:hAnsi="Times New Roman" w:cs="Times New Roman"/>
          <w:sz w:val="24"/>
          <w:szCs w:val="24"/>
          <w:lang w:eastAsia="pl-PL"/>
        </w:rPr>
        <w:t>odpowiedzialność za wynik finansowy oraz racjonalne, zgodne z przeznaczeniem</w:t>
      </w:r>
    </w:p>
    <w:p w:rsidR="00BC1962" w:rsidRPr="002C1C72" w:rsidRDefault="00BC1962" w:rsidP="00BC1962">
      <w:pPr>
        <w:pStyle w:val="Bezodstpw"/>
        <w:ind w:left="720"/>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wykorzystanie majątku i środków Oddziału,</w:t>
      </w:r>
    </w:p>
    <w:p w:rsidR="00BC1962" w:rsidRPr="002C1C72" w:rsidRDefault="00BC1962" w:rsidP="00BC1962">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C1C72">
        <w:rPr>
          <w:rFonts w:ascii="Times New Roman" w:eastAsia="Times New Roman" w:hAnsi="Times New Roman" w:cs="Times New Roman"/>
          <w:sz w:val="24"/>
          <w:szCs w:val="24"/>
          <w:lang w:eastAsia="pl-PL"/>
        </w:rPr>
        <w:t xml:space="preserve">kierowanie pracą podległego personelu, kontrolowanie jej wyników i zatwierdzanie </w:t>
      </w:r>
    </w:p>
    <w:p w:rsidR="00BC1962" w:rsidRPr="002C1C72" w:rsidRDefault="00BC1962" w:rsidP="00BC1962">
      <w:pPr>
        <w:pStyle w:val="Bezodstpw"/>
        <w:ind w:left="72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C1C72">
        <w:rPr>
          <w:rFonts w:ascii="Times New Roman" w:eastAsia="Times New Roman" w:hAnsi="Times New Roman" w:cs="Times New Roman"/>
          <w:sz w:val="24"/>
          <w:szCs w:val="24"/>
          <w:lang w:eastAsia="pl-PL"/>
        </w:rPr>
        <w:t>planów dyżurów lekarskich,</w:t>
      </w:r>
    </w:p>
    <w:p w:rsidR="00BC1962" w:rsidRPr="002C1C72" w:rsidRDefault="00BC1962" w:rsidP="00BC1962">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C1C72">
        <w:rPr>
          <w:rFonts w:ascii="Times New Roman" w:eastAsia="Times New Roman" w:hAnsi="Times New Roman" w:cs="Times New Roman"/>
          <w:sz w:val="24"/>
          <w:szCs w:val="24"/>
          <w:lang w:eastAsia="pl-PL"/>
        </w:rPr>
        <w:t>dokonywanie codziennych obchodów lekarskich,</w:t>
      </w:r>
    </w:p>
    <w:p w:rsidR="00BC1962" w:rsidRPr="002C1C72" w:rsidRDefault="00BC1962" w:rsidP="00BC1962">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C1C72">
        <w:rPr>
          <w:rFonts w:ascii="Times New Roman" w:eastAsia="Times New Roman" w:hAnsi="Times New Roman" w:cs="Times New Roman"/>
          <w:sz w:val="24"/>
          <w:szCs w:val="24"/>
          <w:lang w:eastAsia="pl-PL"/>
        </w:rPr>
        <w:t xml:space="preserve">kierowanie procesem doskonalenia zawodowego personelu oraz organizowanie i </w:t>
      </w:r>
    </w:p>
    <w:p w:rsidR="00BC1962" w:rsidRDefault="00BC1962" w:rsidP="00BC1962">
      <w:pPr>
        <w:pStyle w:val="Bezodstpw"/>
        <w:ind w:left="720"/>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kierowanie działalnością naukowo-badawczą,</w:t>
      </w:r>
      <w:r w:rsidRPr="00ED118F">
        <w:rPr>
          <w:rFonts w:ascii="Times New Roman" w:eastAsia="Times New Roman" w:hAnsi="Times New Roman" w:cs="Times New Roman"/>
          <w:sz w:val="24"/>
          <w:szCs w:val="24"/>
          <w:lang w:eastAsia="pl-PL"/>
        </w:rPr>
        <w:t xml:space="preserve"> </w:t>
      </w:r>
    </w:p>
    <w:p w:rsidR="00BC1962" w:rsidRDefault="00BC1962" w:rsidP="00BC1962">
      <w:pPr>
        <w:pStyle w:val="Bezodstpw"/>
        <w:numPr>
          <w:ilvl w:val="0"/>
          <w:numId w:val="22"/>
        </w:numPr>
        <w:rPr>
          <w:rFonts w:ascii="Times New Roman" w:eastAsia="Times New Roman" w:hAnsi="Times New Roman" w:cs="Times New Roman"/>
          <w:sz w:val="24"/>
          <w:szCs w:val="24"/>
          <w:lang w:eastAsia="pl-PL"/>
        </w:rPr>
      </w:pPr>
      <w:r w:rsidRPr="00422B3E">
        <w:rPr>
          <w:rFonts w:ascii="Times New Roman" w:eastAsia="Times New Roman" w:hAnsi="Times New Roman" w:cs="Times New Roman"/>
          <w:sz w:val="24"/>
          <w:szCs w:val="24"/>
          <w:lang w:eastAsia="pl-PL"/>
        </w:rPr>
        <w:t>organizowanie pracy w celu zapewnienia rozwoju leczenia stresu bojowego,</w:t>
      </w:r>
    </w:p>
    <w:p w:rsidR="00BC1962" w:rsidRPr="00422B3E" w:rsidRDefault="00BC1962" w:rsidP="00BC1962">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współpraca w zakresie aktywności badawczej z Akademią Wojsk Lądowych </w:t>
      </w:r>
    </w:p>
    <w:p w:rsidR="00BC1962" w:rsidRPr="005C3891" w:rsidRDefault="00BC1962" w:rsidP="00BC1962">
      <w:pPr>
        <w:pStyle w:val="Bezodstpw"/>
        <w:numPr>
          <w:ilvl w:val="0"/>
          <w:numId w:val="30"/>
        </w:numPr>
        <w:rPr>
          <w:rFonts w:ascii="Times New Roman" w:hAnsi="Times New Roman" w:cs="Times New Roman"/>
          <w:color w:val="000000"/>
          <w:sz w:val="24"/>
        </w:rPr>
      </w:pPr>
      <w:r w:rsidRPr="005971A1">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5C3891">
        <w:rPr>
          <w:rFonts w:ascii="Times New Roman" w:eastAsia="Times New Roman" w:hAnsi="Times New Roman" w:cs="Times New Roman"/>
          <w:color w:val="000000"/>
          <w:sz w:val="24"/>
          <w:szCs w:val="24"/>
          <w:lang w:eastAsia="pl-PL"/>
        </w:rPr>
        <w:t xml:space="preserve">    </w:t>
      </w:r>
    </w:p>
    <w:p w:rsidR="00BC1962" w:rsidRPr="00450134" w:rsidRDefault="00BC1962" w:rsidP="00BC1962">
      <w:pPr>
        <w:pStyle w:val="Bezodstpw"/>
        <w:numPr>
          <w:ilvl w:val="0"/>
          <w:numId w:val="1"/>
        </w:numPr>
        <w:jc w:val="both"/>
        <w:rPr>
          <w:rFonts w:ascii="Times New Roman" w:hAnsi="Times New Roman" w:cs="Times New Roman"/>
          <w:color w:val="000000"/>
          <w:sz w:val="24"/>
          <w:szCs w:val="24"/>
        </w:rPr>
      </w:pPr>
      <w:r w:rsidRPr="005015A2">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5015A2">
        <w:rPr>
          <w:rFonts w:ascii="Times New Roman" w:hAnsi="Times New Roman" w:cs="Times New Roman"/>
          <w:bCs/>
          <w:color w:val="000000"/>
          <w:sz w:val="24"/>
          <w:szCs w:val="24"/>
        </w:rPr>
        <w:t xml:space="preserve">. </w:t>
      </w:r>
      <w:r w:rsidRPr="005015A2">
        <w:rPr>
          <w:rFonts w:ascii="Times New Roman" w:hAnsi="Times New Roman" w:cs="Times New Roman"/>
          <w:color w:val="000000"/>
          <w:sz w:val="24"/>
        </w:rPr>
        <w:t xml:space="preserve">Przyjmujący zamówienie będzie udzielał świadczeń w godzinach </w:t>
      </w:r>
      <w:r w:rsidRPr="005015A2">
        <w:rPr>
          <w:rFonts w:ascii="Times New Roman" w:hAnsi="Times New Roman" w:cs="Times New Roman"/>
          <w:b/>
          <w:color w:val="000000"/>
          <w:sz w:val="24"/>
          <w:szCs w:val="24"/>
          <w:lang w:eastAsia="en-US"/>
        </w:rPr>
        <w:t xml:space="preserve">( minimalnie </w:t>
      </w:r>
      <w:r>
        <w:rPr>
          <w:rFonts w:ascii="Times New Roman" w:hAnsi="Times New Roman" w:cs="Times New Roman"/>
          <w:b/>
          <w:color w:val="000000"/>
          <w:sz w:val="24"/>
          <w:szCs w:val="24"/>
          <w:lang w:eastAsia="en-US"/>
        </w:rPr>
        <w:t>160</w:t>
      </w:r>
      <w:r w:rsidRPr="005015A2">
        <w:rPr>
          <w:rFonts w:ascii="Times New Roman" w:hAnsi="Times New Roman" w:cs="Times New Roman"/>
          <w:b/>
          <w:color w:val="000000"/>
          <w:sz w:val="24"/>
          <w:szCs w:val="24"/>
          <w:lang w:eastAsia="en-US"/>
        </w:rPr>
        <w:t xml:space="preserve"> godz. w miesiącu, maksymalnie </w:t>
      </w:r>
      <w:r>
        <w:rPr>
          <w:rFonts w:ascii="Times New Roman" w:hAnsi="Times New Roman" w:cs="Times New Roman"/>
          <w:b/>
          <w:color w:val="000000"/>
          <w:sz w:val="24"/>
          <w:szCs w:val="24"/>
          <w:lang w:eastAsia="en-US"/>
        </w:rPr>
        <w:t>220</w:t>
      </w:r>
      <w:r w:rsidRPr="005015A2">
        <w:rPr>
          <w:rFonts w:ascii="Times New Roman" w:hAnsi="Times New Roman" w:cs="Times New Roman"/>
          <w:b/>
          <w:color w:val="000000"/>
          <w:sz w:val="24"/>
          <w:szCs w:val="24"/>
          <w:lang w:eastAsia="en-US"/>
        </w:rPr>
        <w:t xml:space="preserve"> godz. </w:t>
      </w:r>
      <w:r>
        <w:rPr>
          <w:rFonts w:ascii="Times New Roman" w:hAnsi="Times New Roman" w:cs="Times New Roman"/>
          <w:b/>
          <w:color w:val="000000"/>
          <w:sz w:val="24"/>
          <w:szCs w:val="24"/>
          <w:lang w:eastAsia="en-US"/>
        </w:rPr>
        <w:t>w miesiącu</w:t>
      </w:r>
      <w:r w:rsidRPr="005015A2">
        <w:rPr>
          <w:rFonts w:ascii="Times New Roman" w:hAnsi="Times New Roman" w:cs="Times New Roman"/>
          <w:b/>
          <w:color w:val="000000"/>
          <w:sz w:val="24"/>
          <w:szCs w:val="24"/>
          <w:lang w:eastAsia="en-US"/>
        </w:rPr>
        <w:t>)</w:t>
      </w:r>
      <w:r w:rsidRPr="005015A2">
        <w:rPr>
          <w:rFonts w:ascii="Times New Roman" w:hAnsi="Times New Roman" w:cs="Times New Roman"/>
          <w:color w:val="000000"/>
          <w:sz w:val="24"/>
        </w:rPr>
        <w:t xml:space="preserve"> </w:t>
      </w:r>
      <w:r w:rsidRPr="00450134">
        <w:rPr>
          <w:rFonts w:ascii="Times New Roman" w:hAnsi="Times New Roman" w:cs="Times New Roman"/>
          <w:color w:val="000000"/>
          <w:sz w:val="24"/>
        </w:rPr>
        <w:t xml:space="preserve">ustalonych w harmonogramie pracy </w:t>
      </w:r>
      <w:r w:rsidRPr="00650FD1">
        <w:rPr>
          <w:rFonts w:ascii="Times New Roman" w:hAnsi="Times New Roman" w:cs="Times New Roman"/>
          <w:bCs/>
          <w:color w:val="000000"/>
          <w:sz w:val="24"/>
        </w:rPr>
        <w:t xml:space="preserve">Klinicznego Oddziału Psychiatrycznego </w:t>
      </w:r>
      <w:r>
        <w:rPr>
          <w:rFonts w:ascii="Times New Roman" w:hAnsi="Times New Roman" w:cs="Times New Roman"/>
          <w:bCs/>
          <w:color w:val="000000"/>
          <w:sz w:val="24"/>
        </w:rPr>
        <w:br w:type="textWrapping" w:clear="all"/>
      </w:r>
      <w:r w:rsidRPr="00650FD1">
        <w:rPr>
          <w:rFonts w:ascii="Times New Roman" w:hAnsi="Times New Roman" w:cs="Times New Roman"/>
          <w:bCs/>
          <w:color w:val="000000"/>
          <w:sz w:val="24"/>
        </w:rPr>
        <w:t>i Leczenia Stresu Bojowego</w:t>
      </w:r>
      <w:r w:rsidRPr="00392182">
        <w:rPr>
          <w:rFonts w:ascii="Times New Roman" w:hAnsi="Times New Roman" w:cs="Times New Roman"/>
          <w:bCs/>
          <w:color w:val="000000"/>
          <w:sz w:val="24"/>
        </w:rPr>
        <w:t xml:space="preserve"> </w:t>
      </w:r>
      <w:r w:rsidR="007105EF">
        <w:rPr>
          <w:rFonts w:ascii="Times New Roman" w:hAnsi="Times New Roman" w:cs="Times New Roman"/>
          <w:bCs/>
          <w:color w:val="000000"/>
          <w:sz w:val="24"/>
        </w:rPr>
        <w:t>(zwanego</w:t>
      </w:r>
      <w:r w:rsidRPr="00392182">
        <w:rPr>
          <w:rFonts w:ascii="Times New Roman" w:hAnsi="Times New Roman" w:cs="Times New Roman"/>
          <w:bCs/>
          <w:color w:val="000000"/>
          <w:sz w:val="24"/>
        </w:rPr>
        <w:t xml:space="preserve"> dalej </w:t>
      </w:r>
      <w:r>
        <w:rPr>
          <w:rFonts w:ascii="Times New Roman" w:hAnsi="Times New Roman" w:cs="Times New Roman"/>
          <w:bCs/>
          <w:color w:val="000000"/>
          <w:sz w:val="24"/>
        </w:rPr>
        <w:t>oddziałem</w:t>
      </w:r>
      <w:r w:rsidR="007105EF">
        <w:rPr>
          <w:rFonts w:ascii="Times New Roman" w:hAnsi="Times New Roman" w:cs="Times New Roman"/>
          <w:bCs/>
          <w:color w:val="000000"/>
          <w:sz w:val="24"/>
        </w:rPr>
        <w:t>)</w:t>
      </w:r>
      <w:r w:rsidRPr="00392182">
        <w:rPr>
          <w:rFonts w:ascii="Times New Roman" w:hAnsi="Times New Roman" w:cs="Times New Roman"/>
          <w:bCs/>
          <w:color w:val="000000"/>
          <w:sz w:val="24"/>
        </w:rPr>
        <w:t xml:space="preserve"> </w:t>
      </w:r>
      <w:r w:rsidRPr="00392182">
        <w:rPr>
          <w:rFonts w:ascii="Times New Roman" w:hAnsi="Times New Roman" w:cs="Times New Roman"/>
          <w:sz w:val="24"/>
          <w:szCs w:val="24"/>
        </w:rPr>
        <w:t>oraz w rama</w:t>
      </w:r>
      <w:r w:rsidRPr="00450134">
        <w:rPr>
          <w:rFonts w:ascii="Times New Roman" w:hAnsi="Times New Roman" w:cs="Times New Roman"/>
          <w:sz w:val="24"/>
          <w:szCs w:val="24"/>
        </w:rPr>
        <w:t xml:space="preserve">ch dyżurów i na wezwanie </w:t>
      </w:r>
      <w:r w:rsidRPr="00450134">
        <w:rPr>
          <w:rFonts w:ascii="Times New Roman" w:hAnsi="Times New Roman" w:cs="Times New Roman"/>
          <w:color w:val="000000"/>
          <w:sz w:val="24"/>
          <w:szCs w:val="24"/>
        </w:rPr>
        <w:t>na co Przyjmujący zamówienie wyraża zgodę.</w:t>
      </w:r>
    </w:p>
    <w:p w:rsidR="0034412D" w:rsidRPr="0044543E" w:rsidRDefault="0034412D" w:rsidP="0034412D">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44543E" w:rsidRPr="0044543E" w:rsidRDefault="0044543E" w:rsidP="0044543E">
      <w:pPr>
        <w:numPr>
          <w:ilvl w:val="0"/>
          <w:numId w:val="1"/>
        </w:numPr>
        <w:jc w:val="both"/>
        <w:rPr>
          <w:color w:val="000000"/>
          <w:sz w:val="24"/>
          <w:lang w:bidi="hi-IN"/>
        </w:rPr>
      </w:pPr>
      <w:r w:rsidRPr="0044543E">
        <w:rPr>
          <w:sz w:val="24"/>
          <w:szCs w:val="24"/>
          <w:lang w:bidi="hi-IN"/>
        </w:rPr>
        <w:t>Przyjmujący zamówienie zobowiązuje się do pełnienia funkcji doradcy budżetowo-  sprzedażowego w celu poprawy i stabilizacji wyniku finansowego oddziału.</w:t>
      </w:r>
    </w:p>
    <w:p w:rsidR="0044543E" w:rsidRPr="0044543E" w:rsidRDefault="0044543E" w:rsidP="0044543E">
      <w:pPr>
        <w:ind w:left="426" w:hanging="142"/>
        <w:contextualSpacing/>
        <w:jc w:val="both"/>
        <w:rPr>
          <w:rFonts w:eastAsia="ヒラギノ角ゴ Pro W3"/>
          <w:color w:val="000000"/>
          <w:sz w:val="24"/>
          <w:szCs w:val="24"/>
        </w:rPr>
      </w:pPr>
      <w:r w:rsidRPr="0044543E">
        <w:rPr>
          <w:rFonts w:eastAsia="ヒラギノ角ゴ Pro W3"/>
          <w:color w:val="000000"/>
          <w:sz w:val="24"/>
          <w:szCs w:val="24"/>
        </w:rPr>
        <w:t xml:space="preserve"> Doradca ds. spraw budżetowo-sprzedażowych realizuje zadania z zakresu poprawy i stabilizacji wyniku finansowego oddziału.</w:t>
      </w:r>
    </w:p>
    <w:p w:rsidR="0044543E" w:rsidRPr="0044543E" w:rsidRDefault="0044543E" w:rsidP="0044543E">
      <w:pPr>
        <w:jc w:val="both"/>
        <w:rPr>
          <w:sz w:val="24"/>
          <w:szCs w:val="24"/>
        </w:rPr>
      </w:pPr>
      <w:r w:rsidRPr="0044543E">
        <w:rPr>
          <w:sz w:val="24"/>
          <w:szCs w:val="24"/>
        </w:rPr>
        <w:t xml:space="preserve">      Do obowiązków doradcy budżetowo-sprzedażowego należy analizowanie: </w:t>
      </w:r>
    </w:p>
    <w:p w:rsidR="0044543E" w:rsidRPr="0044543E" w:rsidRDefault="0044543E" w:rsidP="0044543E">
      <w:pPr>
        <w:numPr>
          <w:ilvl w:val="0"/>
          <w:numId w:val="31"/>
        </w:numPr>
        <w:suppressAutoHyphens w:val="0"/>
        <w:spacing w:after="200"/>
        <w:contextualSpacing/>
        <w:jc w:val="both"/>
        <w:rPr>
          <w:rFonts w:eastAsia="ヒラギノ角ゴ Pro W3"/>
          <w:color w:val="000000"/>
          <w:sz w:val="24"/>
          <w:szCs w:val="24"/>
        </w:rPr>
      </w:pPr>
      <w:r w:rsidRPr="0044543E">
        <w:rPr>
          <w:rFonts w:eastAsia="ヒラギノ角ゴ Pro W3"/>
          <w:color w:val="000000"/>
          <w:sz w:val="24"/>
          <w:szCs w:val="24"/>
        </w:rPr>
        <w:t>prawidłowości i optymalizacji rozliczeń z NFZ,</w:t>
      </w:r>
    </w:p>
    <w:p w:rsidR="0044543E" w:rsidRPr="0044543E" w:rsidRDefault="0044543E" w:rsidP="0044543E">
      <w:pPr>
        <w:numPr>
          <w:ilvl w:val="0"/>
          <w:numId w:val="31"/>
        </w:numPr>
        <w:suppressAutoHyphens w:val="0"/>
        <w:spacing w:after="200"/>
        <w:contextualSpacing/>
        <w:jc w:val="both"/>
        <w:rPr>
          <w:rFonts w:eastAsia="ヒラギノ角ゴ Pro W3"/>
          <w:color w:val="000000"/>
          <w:sz w:val="24"/>
          <w:szCs w:val="24"/>
        </w:rPr>
      </w:pPr>
      <w:r w:rsidRPr="0044543E">
        <w:rPr>
          <w:rFonts w:eastAsia="ヒラギノ角ゴ Pro W3"/>
          <w:color w:val="000000"/>
          <w:sz w:val="24"/>
          <w:szCs w:val="24"/>
        </w:rPr>
        <w:t>organizacji udzielania świadczeń w sposób pozwalający na równomierną i kontrolowaną realizację kontraktu z NFZ,</w:t>
      </w:r>
    </w:p>
    <w:p w:rsidR="0044543E" w:rsidRPr="0044543E" w:rsidRDefault="0044543E" w:rsidP="0044543E">
      <w:pPr>
        <w:numPr>
          <w:ilvl w:val="0"/>
          <w:numId w:val="31"/>
        </w:numPr>
        <w:suppressAutoHyphens w:val="0"/>
        <w:contextualSpacing/>
        <w:jc w:val="both"/>
        <w:rPr>
          <w:rFonts w:eastAsia="ヒラギノ角ゴ Pro W3"/>
          <w:color w:val="000000"/>
          <w:sz w:val="24"/>
          <w:szCs w:val="24"/>
        </w:rPr>
      </w:pPr>
      <w:r w:rsidRPr="0044543E">
        <w:rPr>
          <w:rFonts w:eastAsia="ヒラギノ角ゴ Pro W3"/>
          <w:color w:val="000000"/>
          <w:sz w:val="24"/>
          <w:szCs w:val="24"/>
        </w:rPr>
        <w:t>racjonalnej diagnostyki chorego, kontroli zleconych badań diagnostycznych i wykorzystywania ich wyników,</w:t>
      </w:r>
    </w:p>
    <w:p w:rsidR="0044543E" w:rsidRPr="0044543E" w:rsidRDefault="0044543E" w:rsidP="0044543E">
      <w:pPr>
        <w:numPr>
          <w:ilvl w:val="0"/>
          <w:numId w:val="31"/>
        </w:numPr>
        <w:suppressAutoHyphens w:val="0"/>
        <w:contextualSpacing/>
        <w:jc w:val="both"/>
        <w:rPr>
          <w:rFonts w:eastAsia="ヒラギノ角ゴ Pro W3"/>
          <w:color w:val="000000"/>
          <w:sz w:val="24"/>
          <w:szCs w:val="24"/>
        </w:rPr>
      </w:pPr>
      <w:r w:rsidRPr="0044543E">
        <w:rPr>
          <w:rFonts w:eastAsia="ヒラギノ角ゴ Pro W3"/>
          <w:color w:val="000000"/>
          <w:sz w:val="24"/>
          <w:szCs w:val="24"/>
        </w:rPr>
        <w:t>zmniejszania kosztów materiałowych w zakresie nie wpływającym w negatywny sposób na proces leczniczy w oddziale.</w:t>
      </w:r>
    </w:p>
    <w:p w:rsidR="0044543E" w:rsidRPr="0044543E" w:rsidRDefault="0044543E" w:rsidP="0044543E">
      <w:pPr>
        <w:numPr>
          <w:ilvl w:val="0"/>
          <w:numId w:val="1"/>
        </w:numPr>
        <w:suppressAutoHyphens w:val="0"/>
        <w:contextualSpacing/>
        <w:jc w:val="both"/>
        <w:rPr>
          <w:rFonts w:eastAsia="ヒラギノ角ゴ Pro W3"/>
          <w:color w:val="000000"/>
          <w:sz w:val="24"/>
          <w:szCs w:val="24"/>
        </w:rPr>
      </w:pPr>
      <w:r w:rsidRPr="0044543E">
        <w:rPr>
          <w:rFonts w:eastAsia="ヒラギノ角ゴ Pro W3"/>
          <w:color w:val="000000"/>
          <w:sz w:val="24"/>
          <w:szCs w:val="24"/>
        </w:rPr>
        <w:t>Wyniki analiz określone w § 1 ust. 6 doradca przedkłada w formie pisemnej Zastępcy  Komendanta ds. Lecznictwa  Szpitalnego, w określonych terminach.</w:t>
      </w:r>
    </w:p>
    <w:p w:rsidR="0044543E" w:rsidRDefault="0044543E" w:rsidP="0044543E">
      <w:pPr>
        <w:pStyle w:val="Bezodstpw"/>
        <w:jc w:val="both"/>
        <w:rPr>
          <w:rFonts w:ascii="Times New Roman" w:hAnsi="Times New Roman" w:cs="Times New Roman"/>
          <w:color w:val="000000"/>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34412D">
        <w:rPr>
          <w:b/>
          <w:sz w:val="24"/>
        </w:rPr>
        <w:t>2</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34412D" w:rsidRDefault="0034412D" w:rsidP="0034412D">
      <w:pPr>
        <w:numPr>
          <w:ilvl w:val="0"/>
          <w:numId w:val="4"/>
        </w:numPr>
        <w:jc w:val="both"/>
        <w:rPr>
          <w:sz w:val="24"/>
        </w:rPr>
      </w:pPr>
      <w:r>
        <w:rPr>
          <w:sz w:val="24"/>
        </w:rPr>
        <w:t xml:space="preserve">Udzielający zamówienia oświadcza, że </w:t>
      </w:r>
      <w:r w:rsidR="0044543E">
        <w:rPr>
          <w:sz w:val="24"/>
        </w:rPr>
        <w:t>oddział</w:t>
      </w:r>
      <w:r>
        <w:rPr>
          <w:sz w:val="24"/>
        </w:rPr>
        <w:t xml:space="preserve"> określony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34412D" w:rsidRDefault="0034412D" w:rsidP="0034412D">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44543E">
        <w:rPr>
          <w:rFonts w:eastAsia="Calibri"/>
          <w:color w:val="000000"/>
          <w:sz w:val="24"/>
          <w:szCs w:val="22"/>
        </w:rPr>
        <w:t>oddziału</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44543E" w:rsidRDefault="0044543E" w:rsidP="009250CB">
      <w:pPr>
        <w:ind w:left="360"/>
        <w:jc w:val="center"/>
        <w:rPr>
          <w:sz w:val="24"/>
        </w:rPr>
      </w:pPr>
    </w:p>
    <w:p w:rsidR="009250CB" w:rsidRDefault="009250CB" w:rsidP="009250CB">
      <w:pPr>
        <w:ind w:left="360"/>
        <w:jc w:val="center"/>
        <w:rPr>
          <w:sz w:val="24"/>
        </w:rPr>
      </w:pPr>
      <w:r>
        <w:rPr>
          <w:sz w:val="24"/>
        </w:rPr>
        <w:t>§ 4</w:t>
      </w:r>
    </w:p>
    <w:p w:rsidR="0034412D" w:rsidRDefault="0034412D" w:rsidP="0034412D">
      <w:pPr>
        <w:numPr>
          <w:ilvl w:val="0"/>
          <w:numId w:val="29"/>
        </w:numPr>
        <w:jc w:val="both"/>
        <w:rPr>
          <w:sz w:val="24"/>
        </w:rPr>
      </w:pPr>
      <w:r>
        <w:rPr>
          <w:sz w:val="24"/>
        </w:rPr>
        <w:t>Udzielający zamówienia ma obowiązek zapewnienia niezbędnej do prawidłowego funkcjonowania</w:t>
      </w:r>
      <w:r>
        <w:rPr>
          <w:bCs/>
          <w:sz w:val="24"/>
        </w:rPr>
        <w:t xml:space="preserve"> </w:t>
      </w:r>
      <w:r w:rsidR="00366E91">
        <w:rPr>
          <w:bCs/>
          <w:sz w:val="24"/>
        </w:rPr>
        <w:t>oddziału</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34412D" w:rsidRDefault="0034412D" w:rsidP="0034412D">
      <w:pPr>
        <w:numPr>
          <w:ilvl w:val="0"/>
          <w:numId w:val="29"/>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34412D" w:rsidRDefault="0034412D" w:rsidP="00366E91">
      <w:pPr>
        <w:numPr>
          <w:ilvl w:val="0"/>
          <w:numId w:val="29"/>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 xml:space="preserve">Funkcję koordynatora działalności wszystkich świadczeniodawców pełnić będzie </w:t>
      </w:r>
      <w:r w:rsidR="00366E91" w:rsidRPr="00366E91">
        <w:rPr>
          <w:sz w:val="24"/>
          <w:szCs w:val="24"/>
        </w:rPr>
        <w:t>Zastępca Komendanta ds. Lecznictwa Szpitalnego</w:t>
      </w:r>
      <w:r>
        <w:rPr>
          <w:sz w:val="24"/>
          <w:szCs w:val="24"/>
        </w:rPr>
        <w:t>,</w:t>
      </w:r>
      <w:r>
        <w:rPr>
          <w:sz w:val="24"/>
        </w:rPr>
        <w:t xml:space="preserve"> który w sprawach związanych z funkcjonowaniem </w:t>
      </w:r>
      <w:r w:rsidR="0044543E">
        <w:rPr>
          <w:rFonts w:eastAsia="Calibri"/>
          <w:color w:val="000000"/>
          <w:sz w:val="24"/>
          <w:szCs w:val="22"/>
        </w:rPr>
        <w:t>oddziału</w:t>
      </w:r>
      <w:r>
        <w:rPr>
          <w:rFonts w:eastAsia="Calibri"/>
          <w:color w:val="000000"/>
          <w:sz w:val="24"/>
          <w:szCs w:val="22"/>
        </w:rPr>
        <w:t xml:space="preserve"> </w:t>
      </w:r>
      <w:r>
        <w:rPr>
          <w:sz w:val="24"/>
        </w:rPr>
        <w:t>reprezentuje Udzielającego zamówienia. Przyjmujący zamówienie zobowiązuje się do współdziałania z Udzielającym zamówienie i pozostałymi świadczeniodawcami oraz do respektowania zaleceń lub poleceń związanych z funkcjonowaniem</w:t>
      </w:r>
      <w:r>
        <w:rPr>
          <w:rFonts w:eastAsia="Calibri"/>
          <w:color w:val="000000"/>
          <w:sz w:val="24"/>
          <w:szCs w:val="22"/>
        </w:rPr>
        <w:t xml:space="preserve"> </w:t>
      </w:r>
      <w:r w:rsidR="0044543E">
        <w:rPr>
          <w:rFonts w:eastAsia="Calibri"/>
          <w:color w:val="000000"/>
          <w:sz w:val="24"/>
          <w:szCs w:val="22"/>
        </w:rPr>
        <w:t>oddziału</w:t>
      </w:r>
      <w:r>
        <w:rPr>
          <w:rFonts w:eastAsia="Calibri"/>
          <w:color w:val="000000"/>
          <w:sz w:val="24"/>
          <w:szCs w:val="22"/>
        </w:rPr>
        <w:t>.</w:t>
      </w:r>
    </w:p>
    <w:p w:rsidR="00B47B3F" w:rsidRDefault="00B47B3F"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lastRenderedPageBreak/>
        <w:t>Udzielający zamówienie zobowiązuje się zapewnić Przyjmującemu zamówienie wszystkie aktualne druki i dokumentacje.</w:t>
      </w:r>
    </w:p>
    <w:p w:rsidR="003714EC" w:rsidRDefault="003714EC"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96B56">
        <w:t>9</w:t>
      </w:r>
      <w:r>
        <w:t xml:space="preserve">r. poz. </w:t>
      </w:r>
      <w:r w:rsidR="00E96B56">
        <w:t>1127</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EA1B95" w:rsidRDefault="00EA1B95" w:rsidP="00216CBF">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366E9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3714EC" w:rsidRDefault="003714EC"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B47B3F" w:rsidRDefault="00B47B3F"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B47B3F" w:rsidRDefault="00B47B3F"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EA1B95" w:rsidRDefault="00EA1B95" w:rsidP="00EA1B95">
      <w:pPr>
        <w:jc w:val="both"/>
        <w:rPr>
          <w:sz w:val="24"/>
        </w:rPr>
      </w:pP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3714EC" w:rsidRDefault="003714EC"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sidR="00C7384B">
        <w:rPr>
          <w:rFonts w:eastAsia="SimSun" w:cs="Mangal"/>
          <w:sz w:val="24"/>
          <w:szCs w:val="24"/>
          <w:lang w:bidi="hi-IN"/>
        </w:rPr>
        <w:t xml:space="preserve">ół zdawczo – odbiorczy stanowi </w:t>
      </w:r>
      <w:r w:rsidR="00C7384B" w:rsidRPr="00C7384B">
        <w:rPr>
          <w:rFonts w:eastAsia="SimSun" w:cs="Mangal"/>
          <w:b/>
          <w:sz w:val="24"/>
          <w:szCs w:val="24"/>
          <w:lang w:bidi="hi-IN"/>
        </w:rPr>
        <w:t>Z</w:t>
      </w:r>
      <w:r w:rsidRPr="00C7384B">
        <w:rPr>
          <w:rFonts w:eastAsia="SimSun" w:cs="Mangal"/>
          <w:b/>
          <w:sz w:val="24"/>
          <w:szCs w:val="24"/>
          <w:lang w:bidi="hi-IN"/>
        </w:rPr>
        <w:t>ałącznik nr 1</w:t>
      </w:r>
      <w:r w:rsidRPr="009266CE">
        <w:rPr>
          <w:rFonts w:eastAsia="SimSun" w:cs="Mangal"/>
          <w:sz w:val="24"/>
          <w:szCs w:val="24"/>
          <w:lang w:bidi="hi-IN"/>
        </w:rPr>
        <w:t xml:space="preserve"> do niniejszej umowy.</w:t>
      </w:r>
    </w:p>
    <w:p w:rsidR="009250CB" w:rsidRDefault="009250CB" w:rsidP="009266CE">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366E91" w:rsidRPr="00366E91" w:rsidRDefault="00366E91" w:rsidP="00366E91">
      <w:pPr>
        <w:numPr>
          <w:ilvl w:val="0"/>
          <w:numId w:val="15"/>
        </w:numPr>
        <w:tabs>
          <w:tab w:val="left" w:pos="397"/>
          <w:tab w:val="left" w:pos="3899"/>
          <w:tab w:val="center" w:pos="4781"/>
        </w:tabs>
        <w:rPr>
          <w:sz w:val="24"/>
        </w:rPr>
      </w:pPr>
      <w:r w:rsidRPr="00366E91">
        <w:rPr>
          <w:sz w:val="24"/>
        </w:rPr>
        <w:t>Za realizację przedmiotu umowy Przyjmującemu Zamówienie przysługuje wynagrodzenie:</w:t>
      </w:r>
    </w:p>
    <w:p w:rsidR="00366E91" w:rsidRPr="00366E91" w:rsidRDefault="00366E91" w:rsidP="00366E91">
      <w:pPr>
        <w:ind w:left="1117"/>
        <w:jc w:val="both"/>
        <w:rPr>
          <w:sz w:val="24"/>
        </w:rPr>
      </w:pPr>
      <w:r>
        <w:rPr>
          <w:b/>
          <w:sz w:val="24"/>
        </w:rPr>
        <w:t>…………..</w:t>
      </w:r>
      <w:r w:rsidRPr="00366E91">
        <w:rPr>
          <w:b/>
          <w:sz w:val="24"/>
        </w:rPr>
        <w:t xml:space="preserve"> zł brutto za 1 godzinę </w:t>
      </w:r>
      <w:r w:rsidRPr="00366E91">
        <w:rPr>
          <w:sz w:val="24"/>
        </w:rPr>
        <w:t xml:space="preserve">(słownie: </w:t>
      </w:r>
      <w:r>
        <w:rPr>
          <w:sz w:val="24"/>
        </w:rPr>
        <w:t>…………………………………..</w:t>
      </w:r>
      <w:r w:rsidRPr="00366E91">
        <w:rPr>
          <w:sz w:val="24"/>
        </w:rPr>
        <w:t>).</w:t>
      </w:r>
    </w:p>
    <w:p w:rsidR="00366E91" w:rsidRPr="00366E91" w:rsidRDefault="00366E91" w:rsidP="00366E91">
      <w:pPr>
        <w:numPr>
          <w:ilvl w:val="0"/>
          <w:numId w:val="15"/>
        </w:numPr>
        <w:jc w:val="both"/>
        <w:rPr>
          <w:sz w:val="24"/>
        </w:rPr>
      </w:pPr>
      <w:r w:rsidRPr="00366E91">
        <w:rPr>
          <w:sz w:val="24"/>
        </w:rPr>
        <w:t>Wynagrodzenie, o którym mowa w ust. 1 wyczerpuje całość zobowiązań finansowych Udzielającego zamówienie względem Przyjmującego zamówienie.</w:t>
      </w:r>
    </w:p>
    <w:p w:rsidR="00366E91" w:rsidRPr="00366E91" w:rsidRDefault="00366E91" w:rsidP="00366E91">
      <w:pPr>
        <w:numPr>
          <w:ilvl w:val="0"/>
          <w:numId w:val="15"/>
        </w:numPr>
        <w:tabs>
          <w:tab w:val="left" w:pos="397"/>
          <w:tab w:val="left" w:pos="3899"/>
          <w:tab w:val="center" w:pos="4781"/>
        </w:tabs>
        <w:rPr>
          <w:b/>
          <w:bCs/>
          <w:sz w:val="24"/>
        </w:rPr>
      </w:pPr>
      <w:r w:rsidRPr="00366E91">
        <w:rPr>
          <w:sz w:val="24"/>
        </w:rPr>
        <w:t xml:space="preserve">Wynagrodzenie za ostatni miesiąc niniejszej umowy zostanie wypłacone po rozliczeniu </w:t>
      </w:r>
    </w:p>
    <w:p w:rsidR="00366E91" w:rsidRPr="00366E91" w:rsidRDefault="00366E91" w:rsidP="00366E91">
      <w:pPr>
        <w:tabs>
          <w:tab w:val="left" w:pos="3899"/>
          <w:tab w:val="center" w:pos="4781"/>
        </w:tabs>
        <w:ind w:left="397"/>
        <w:rPr>
          <w:b/>
          <w:bCs/>
          <w:sz w:val="24"/>
        </w:rPr>
      </w:pPr>
      <w:r w:rsidRPr="00366E91">
        <w:rPr>
          <w:sz w:val="24"/>
        </w:rPr>
        <w:t xml:space="preserve">z Udzielającym Zamówienie opisanym w § 36.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p>
    <w:p w:rsidR="00793FD6" w:rsidRDefault="009250CB" w:rsidP="00695DC2">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0729F4" w:rsidRPr="000729F4" w:rsidRDefault="009250CB" w:rsidP="0061054B">
      <w:pPr>
        <w:numPr>
          <w:ilvl w:val="0"/>
          <w:numId w:val="16"/>
        </w:numPr>
        <w:tabs>
          <w:tab w:val="left" w:pos="360"/>
        </w:tabs>
        <w:jc w:val="both"/>
        <w:rPr>
          <w:color w:val="000000"/>
          <w:sz w:val="24"/>
        </w:rPr>
      </w:pPr>
      <w:r w:rsidRPr="000729F4">
        <w:rPr>
          <w:sz w:val="24"/>
        </w:rPr>
        <w:t xml:space="preserve">Wystawione przez Przyjmującego zamówienie faktury i wydruki z modułu grafiki winny uzyskać zatwierdzenie pod  względem merytorycznym ( w zakresie realizacji przedmiotu umowy) przez </w:t>
      </w:r>
      <w:r w:rsidR="00B47B3F" w:rsidRPr="00E91CE7">
        <w:rPr>
          <w:sz w:val="24"/>
        </w:rPr>
        <w:t>Zastępcę Komendanta ds. Lecznictwa Szpitalnego</w:t>
      </w:r>
      <w:r w:rsidR="000729F4">
        <w:rPr>
          <w:sz w:val="24"/>
          <w:szCs w:val="24"/>
        </w:rPr>
        <w:t>.</w:t>
      </w:r>
    </w:p>
    <w:p w:rsidR="009250CB" w:rsidRPr="000729F4" w:rsidRDefault="009250CB" w:rsidP="0061054B">
      <w:pPr>
        <w:numPr>
          <w:ilvl w:val="0"/>
          <w:numId w:val="16"/>
        </w:numPr>
        <w:tabs>
          <w:tab w:val="left" w:pos="360"/>
        </w:tabs>
        <w:jc w:val="both"/>
        <w:rPr>
          <w:color w:val="000000"/>
          <w:sz w:val="24"/>
        </w:rPr>
      </w:pPr>
      <w:r w:rsidRPr="000729F4">
        <w:rPr>
          <w:sz w:val="24"/>
        </w:rPr>
        <w:t xml:space="preserve">Udzielający zamówienia będzie wypłacał należności za zrealizowane świadczenia na rachunek Przyjmującego zamówienie </w:t>
      </w:r>
      <w:r w:rsidRPr="000729F4">
        <w:rPr>
          <w:b/>
          <w:sz w:val="24"/>
        </w:rPr>
        <w:t>wskazany na fakturze</w:t>
      </w:r>
      <w:r w:rsidRPr="000729F4">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9A21AB" w:rsidRDefault="009A21AB" w:rsidP="009A21AB">
      <w:pPr>
        <w:jc w:val="center"/>
        <w:rPr>
          <w:sz w:val="24"/>
        </w:rPr>
      </w:pPr>
      <w:r>
        <w:rPr>
          <w:sz w:val="24"/>
        </w:rPr>
        <w:t>§ 21</w:t>
      </w:r>
    </w:p>
    <w:p w:rsidR="009A21AB" w:rsidRDefault="009A21AB" w:rsidP="009A21AB">
      <w:pPr>
        <w:jc w:val="center"/>
        <w:rPr>
          <w:sz w:val="24"/>
        </w:rPr>
      </w:pP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9A21AB" w:rsidRDefault="009A21AB" w:rsidP="009A21AB">
      <w:pPr>
        <w:jc w:val="center"/>
        <w:rPr>
          <w:sz w:val="24"/>
        </w:rPr>
      </w:pP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0729F4">
        <w:rPr>
          <w:b/>
          <w:sz w:val="24"/>
        </w:rPr>
        <w:t>………………..</w:t>
      </w:r>
      <w:r>
        <w:rPr>
          <w:sz w:val="24"/>
        </w:rPr>
        <w:t xml:space="preserve"> do </w:t>
      </w:r>
      <w:r w:rsidR="000729F4">
        <w:rPr>
          <w:b/>
          <w:sz w:val="24"/>
        </w:rPr>
        <w:t>……………….</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0729F4" w:rsidRDefault="009250CB" w:rsidP="000729F4">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t>
      </w:r>
      <w:r w:rsidR="000729F4">
        <w:rPr>
          <w:sz w:val="24"/>
          <w:szCs w:val="24"/>
        </w:rPr>
        <w:t>wiązania za porozumieniem stron.</w:t>
      </w:r>
    </w:p>
    <w:p w:rsidR="000729F4" w:rsidRPr="000729F4" w:rsidRDefault="000729F4" w:rsidP="000729F4">
      <w:pPr>
        <w:pStyle w:val="Normalny1"/>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jc w:val="both"/>
        <w:rPr>
          <w:sz w:val="24"/>
          <w:szCs w:val="24"/>
        </w:rPr>
      </w:pPr>
    </w:p>
    <w:p w:rsidR="000729F4" w:rsidRDefault="000729F4" w:rsidP="000729F4">
      <w:pPr>
        <w:pStyle w:val="Normalny1"/>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jc w:val="both"/>
        <w:rPr>
          <w:sz w:val="24"/>
          <w:szCs w:val="24"/>
        </w:rPr>
      </w:pP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9F75BE" w:rsidRDefault="009F75BE" w:rsidP="009250CB">
      <w:pPr>
        <w:jc w:val="center"/>
        <w:rPr>
          <w:sz w:val="24"/>
        </w:rPr>
      </w:pPr>
    </w:p>
    <w:p w:rsidR="009250CB" w:rsidRDefault="009250CB" w:rsidP="009250CB">
      <w:pPr>
        <w:jc w:val="center"/>
        <w:rPr>
          <w:sz w:val="24"/>
        </w:rPr>
      </w:pPr>
      <w:r>
        <w:rPr>
          <w:sz w:val="24"/>
        </w:rPr>
        <w:t>§ 28</w:t>
      </w:r>
    </w:p>
    <w:p w:rsidR="00366E91" w:rsidRPr="00366E91" w:rsidRDefault="00366E91" w:rsidP="00366E91">
      <w:pPr>
        <w:jc w:val="both"/>
        <w:rPr>
          <w:sz w:val="24"/>
        </w:rPr>
      </w:pPr>
      <w:r w:rsidRPr="00366E91">
        <w:rPr>
          <w:sz w:val="24"/>
        </w:rPr>
        <w:t>1. Przyjmujący zamówienie zapłaci Udzielającemu zamówienie kary umowne:</w:t>
      </w:r>
    </w:p>
    <w:p w:rsidR="00366E91" w:rsidRPr="00366E91" w:rsidRDefault="00366E91" w:rsidP="00366E91">
      <w:pPr>
        <w:numPr>
          <w:ilvl w:val="0"/>
          <w:numId w:val="21"/>
        </w:numPr>
        <w:jc w:val="both"/>
        <w:rPr>
          <w:sz w:val="24"/>
        </w:rPr>
      </w:pPr>
      <w:r w:rsidRPr="00366E91">
        <w:rPr>
          <w:sz w:val="24"/>
        </w:rPr>
        <w:t xml:space="preserve">Za odstąpienie bez zgody zamawiającego od realizacji świadczeń zdrowotnych objętych niniejsza umową w wysokości kwoty równej 15 - krotności stawki godzinowej określonej </w:t>
      </w:r>
    </w:p>
    <w:p w:rsidR="00366E91" w:rsidRPr="00366E91" w:rsidRDefault="00366E91" w:rsidP="00366E91">
      <w:pPr>
        <w:jc w:val="both"/>
        <w:rPr>
          <w:sz w:val="24"/>
        </w:rPr>
      </w:pPr>
      <w:r w:rsidRPr="00366E91">
        <w:rPr>
          <w:sz w:val="24"/>
        </w:rPr>
        <w:t xml:space="preserve">            w § 19 pkt. 1 za każdy dzień nieobecności.</w:t>
      </w:r>
    </w:p>
    <w:p w:rsidR="00366E91" w:rsidRPr="00366E91" w:rsidRDefault="00366E91" w:rsidP="00366E91">
      <w:pPr>
        <w:numPr>
          <w:ilvl w:val="0"/>
          <w:numId w:val="21"/>
        </w:numPr>
        <w:jc w:val="both"/>
        <w:rPr>
          <w:sz w:val="24"/>
        </w:rPr>
      </w:pPr>
      <w:r w:rsidRPr="00366E91">
        <w:rPr>
          <w:sz w:val="24"/>
        </w:rPr>
        <w:t>Za pobieranie nienależnych opłat od ubezpieczonych za świadczenia objęte przedmiotem niniejszej umowy w wysokości kwoty równej 15 - krotności stawki godzinowej określonej w § 19 pkt. 1.</w:t>
      </w:r>
    </w:p>
    <w:p w:rsidR="00366E91" w:rsidRPr="00366E91" w:rsidRDefault="00366E91" w:rsidP="00366E91">
      <w:pPr>
        <w:numPr>
          <w:ilvl w:val="0"/>
          <w:numId w:val="21"/>
        </w:numPr>
        <w:jc w:val="both"/>
        <w:rPr>
          <w:sz w:val="24"/>
          <w:u w:val="single"/>
        </w:rPr>
      </w:pPr>
      <w:r w:rsidRPr="00366E91">
        <w:rPr>
          <w:sz w:val="24"/>
        </w:rPr>
        <w:t xml:space="preserve">Za wystawianie recept na rzecz hospitalizowanego w toku leczenia szpitalnego </w:t>
      </w:r>
      <w:r w:rsidRPr="00366E91">
        <w:rPr>
          <w:sz w:val="24"/>
        </w:rPr>
        <w:br/>
        <w:t>w wysokości kwoty równej 15 - krotności stawki godzinowej określonej w § 19 pkt. 1.</w:t>
      </w:r>
    </w:p>
    <w:p w:rsidR="00366E91" w:rsidRPr="00366E91" w:rsidRDefault="00366E91" w:rsidP="00366E91">
      <w:pPr>
        <w:numPr>
          <w:ilvl w:val="0"/>
          <w:numId w:val="21"/>
        </w:numPr>
        <w:jc w:val="both"/>
        <w:rPr>
          <w:sz w:val="24"/>
        </w:rPr>
      </w:pPr>
      <w:r w:rsidRPr="00366E91">
        <w:rPr>
          <w:sz w:val="24"/>
        </w:rPr>
        <w:t>Za uzasadnioną skargę pacjenta – w wysokości kwoty równej 10 - krotności stawki godzinowej określonej w § 19 pkt. 1.</w:t>
      </w:r>
    </w:p>
    <w:p w:rsidR="00366E91" w:rsidRPr="00366E91" w:rsidRDefault="00366E91" w:rsidP="00366E91">
      <w:pPr>
        <w:jc w:val="both"/>
        <w:rPr>
          <w:sz w:val="24"/>
        </w:rPr>
      </w:pPr>
      <w:r w:rsidRPr="00366E91">
        <w:rPr>
          <w:sz w:val="24"/>
        </w:rPr>
        <w:t xml:space="preserve">2. Jeżeli zastrzeżone kary umowne nie pokryją rzeczywistej wysokości szkody, a także </w:t>
      </w:r>
      <w:r w:rsidRPr="00366E91">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7D16" w:rsidRDefault="00EF7D16"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95DC2" w:rsidRDefault="00695DC2"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protokołu zdawczo – odbiorczego oraz  karty obiegowej.</w:t>
      </w: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5015A2" w:rsidRPr="005015A2" w:rsidRDefault="005015A2" w:rsidP="005015A2">
      <w:pPr>
        <w:autoSpaceDE w:val="0"/>
        <w:autoSpaceDN w:val="0"/>
        <w:adjustRightInd w:val="0"/>
        <w:ind w:left="397" w:firstLine="397"/>
        <w:rPr>
          <w:b/>
          <w:bCs/>
          <w:sz w:val="22"/>
          <w:szCs w:val="22"/>
          <w:lang w:eastAsia="pl-PL"/>
        </w:rPr>
      </w:pPr>
      <w:r w:rsidRPr="005015A2">
        <w:rPr>
          <w:b/>
          <w:bCs/>
        </w:rPr>
        <w:t>Zatwierdzam</w:t>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sz w:val="22"/>
          <w:szCs w:val="22"/>
        </w:rPr>
        <w:t>Załącznik nr 1</w:t>
      </w: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pPr>
      <w:r w:rsidRPr="005015A2">
        <w:t>…………………………………………….</w:t>
      </w:r>
    </w:p>
    <w:p w:rsidR="005015A2" w:rsidRPr="005015A2" w:rsidRDefault="005015A2" w:rsidP="005015A2">
      <w:pPr>
        <w:autoSpaceDE w:val="0"/>
        <w:autoSpaceDN w:val="0"/>
        <w:adjustRightInd w:val="0"/>
        <w:ind w:left="397" w:firstLine="397"/>
        <w:rPr>
          <w:i/>
          <w:iCs/>
        </w:rPr>
      </w:pPr>
      <w:r w:rsidRPr="005015A2">
        <w:rPr>
          <w:i/>
          <w:iCs/>
        </w:rPr>
        <w:t>Komendant</w:t>
      </w:r>
    </w:p>
    <w:p w:rsidR="005015A2" w:rsidRPr="005015A2" w:rsidRDefault="005015A2" w:rsidP="005015A2">
      <w:pPr>
        <w:autoSpaceDE w:val="0"/>
        <w:autoSpaceDN w:val="0"/>
        <w:adjustRightInd w:val="0"/>
        <w:rPr>
          <w:i/>
          <w:iCs/>
        </w:rPr>
      </w:pPr>
      <w:r w:rsidRPr="005015A2">
        <w:rPr>
          <w:i/>
          <w:iCs/>
        </w:rPr>
        <w:t>4 Wojskowego Szpitala Klinicznego</w:t>
      </w:r>
    </w:p>
    <w:p w:rsidR="005015A2" w:rsidRPr="005015A2" w:rsidRDefault="005015A2" w:rsidP="005015A2">
      <w:pPr>
        <w:autoSpaceDE w:val="0"/>
        <w:autoSpaceDN w:val="0"/>
        <w:adjustRightInd w:val="0"/>
        <w:ind w:firstLine="397"/>
        <w:rPr>
          <w:i/>
          <w:iCs/>
        </w:rPr>
      </w:pPr>
      <w:r w:rsidRPr="005015A2">
        <w:rPr>
          <w:i/>
          <w:iCs/>
        </w:rPr>
        <w:t>z Polikliniką SP ZOZ</w:t>
      </w:r>
    </w:p>
    <w:p w:rsidR="005015A2" w:rsidRPr="005015A2" w:rsidRDefault="005015A2" w:rsidP="005015A2">
      <w:pPr>
        <w:jc w:val="center"/>
        <w:rPr>
          <w:sz w:val="24"/>
          <w:szCs w:val="24"/>
        </w:rPr>
      </w:pPr>
    </w:p>
    <w:p w:rsidR="005015A2" w:rsidRPr="005015A2" w:rsidRDefault="005015A2" w:rsidP="005015A2">
      <w:pPr>
        <w:jc w:val="center"/>
      </w:pPr>
      <w:r w:rsidRPr="005015A2">
        <w:t xml:space="preserve">PROTOKÓŁ </w:t>
      </w:r>
    </w:p>
    <w:p w:rsidR="005015A2" w:rsidRPr="005015A2" w:rsidRDefault="005015A2" w:rsidP="005015A2">
      <w:pPr>
        <w:jc w:val="center"/>
      </w:pPr>
      <w:r w:rsidRPr="005015A2">
        <w:t>zdania i objęcia obowiązków na stanowisku służbowym</w:t>
      </w:r>
    </w:p>
    <w:p w:rsidR="005015A2" w:rsidRPr="005015A2" w:rsidRDefault="005015A2" w:rsidP="005015A2">
      <w:pPr>
        <w:jc w:val="center"/>
      </w:pPr>
    </w:p>
    <w:p w:rsidR="005015A2" w:rsidRPr="005015A2" w:rsidRDefault="005015A2" w:rsidP="005015A2">
      <w:pPr>
        <w:jc w:val="center"/>
      </w:pPr>
      <w:r w:rsidRPr="005015A2">
        <w:t>…………………………………………………………………………………………………</w:t>
      </w:r>
    </w:p>
    <w:p w:rsidR="005015A2" w:rsidRPr="005015A2" w:rsidRDefault="005015A2" w:rsidP="005015A2">
      <w:pPr>
        <w:jc w:val="center"/>
        <w:rPr>
          <w:sz w:val="16"/>
          <w:szCs w:val="16"/>
        </w:rPr>
      </w:pPr>
      <w:r w:rsidRPr="005015A2">
        <w:rPr>
          <w:sz w:val="16"/>
          <w:szCs w:val="16"/>
        </w:rPr>
        <w:t>(nazwa stanowiska)</w:t>
      </w:r>
    </w:p>
    <w:p w:rsidR="005015A2" w:rsidRPr="005015A2" w:rsidRDefault="005015A2" w:rsidP="005015A2">
      <w:pPr>
        <w:jc w:val="center"/>
        <w:rPr>
          <w:sz w:val="24"/>
          <w:szCs w:val="24"/>
        </w:rPr>
      </w:pPr>
    </w:p>
    <w:p w:rsidR="005015A2" w:rsidRPr="005015A2" w:rsidRDefault="005015A2" w:rsidP="005015A2">
      <w:pPr>
        <w:jc w:val="center"/>
      </w:pP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Zdający ……………………………………………………………………………….</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contextualSpacing/>
        <w:rPr>
          <w:rFonts w:eastAsia="ヒラギノ角ゴ Pro W3"/>
          <w:color w:val="000000"/>
          <w:sz w:val="24"/>
          <w:szCs w:val="24"/>
        </w:rPr>
      </w:pPr>
      <w:r w:rsidRPr="005015A2">
        <w:rPr>
          <w:rFonts w:eastAsia="ヒラギノ角ゴ Pro W3"/>
          <w:color w:val="000000"/>
        </w:rPr>
        <w:t>Obejmujący……………………………………………………………………………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rsidR="005015A2" w:rsidRPr="005015A2" w:rsidRDefault="005015A2" w:rsidP="005015A2">
      <w:pPr>
        <w:ind w:left="720"/>
        <w:contextualSpacing/>
        <w:rPr>
          <w:rFonts w:eastAsia="ヒラギノ角ゴ Pro W3"/>
          <w:color w:val="000000"/>
        </w:rPr>
      </w:pPr>
      <w:r w:rsidRPr="005015A2">
        <w:rPr>
          <w:rFonts w:eastAsia="ヒラギノ角ゴ Pro W3"/>
          <w:color w:val="000000"/>
        </w:rPr>
        <w:t>Przewodniczący:……………………………………………………………………….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720"/>
        <w:contextualSpacing/>
        <w:rPr>
          <w:rFonts w:eastAsia="ヒラギノ角ゴ Pro W3"/>
          <w:color w:val="000000"/>
          <w:sz w:val="24"/>
          <w:szCs w:val="24"/>
        </w:rPr>
      </w:pPr>
      <w:r w:rsidRPr="005015A2">
        <w:rPr>
          <w:rFonts w:eastAsia="ヒラギノ角ゴ Pro W3"/>
          <w:color w:val="000000"/>
        </w:rPr>
        <w:t>Członkowie:…………………………………………………………………………….</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2160"/>
        <w:contextualSpacing/>
        <w:rPr>
          <w:rFonts w:eastAsia="ヒラギノ角ゴ Pro W3"/>
          <w:color w:val="000000"/>
          <w:sz w:val="24"/>
          <w:szCs w:val="24"/>
        </w:rPr>
      </w:pPr>
      <w:r w:rsidRPr="005015A2">
        <w:rPr>
          <w:rFonts w:eastAsia="ヒラギノ角ゴ Pro W3"/>
          <w:color w:val="000000"/>
        </w:rPr>
        <w:t>….……………………………………………………………………….</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Wnioski Komisji*</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rsidR="005015A2" w:rsidRPr="005015A2" w:rsidRDefault="005015A2" w:rsidP="005015A2">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rsidR="005015A2" w:rsidRPr="005015A2" w:rsidRDefault="005015A2" w:rsidP="005015A2">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rsidR="005015A2" w:rsidRPr="005015A2" w:rsidRDefault="005015A2" w:rsidP="005015A2">
      <w:pPr>
        <w:spacing w:line="360" w:lineRule="auto"/>
        <w:ind w:left="2552"/>
        <w:rPr>
          <w:sz w:val="24"/>
          <w:szCs w:val="24"/>
        </w:rPr>
      </w:pPr>
      <w:r w:rsidRPr="005015A2">
        <w:rPr>
          <w:sz w:val="24"/>
          <w:szCs w:val="24"/>
        </w:rPr>
        <w:t xml:space="preserve">  Członkowie ………………………………………………….….</w:t>
      </w:r>
    </w:p>
    <w:p w:rsidR="005015A2" w:rsidRPr="005015A2" w:rsidRDefault="005015A2" w:rsidP="005015A2">
      <w:pPr>
        <w:spacing w:line="360" w:lineRule="auto"/>
        <w:ind w:left="3686"/>
        <w:rPr>
          <w:sz w:val="24"/>
          <w:szCs w:val="24"/>
        </w:rPr>
      </w:pPr>
      <w:r w:rsidRPr="005015A2">
        <w:rPr>
          <w:sz w:val="24"/>
          <w:szCs w:val="24"/>
        </w:rPr>
        <w:t xml:space="preserve">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p>
    <w:p w:rsidR="005015A2" w:rsidRPr="005015A2" w:rsidRDefault="005015A2" w:rsidP="005015A2"/>
    <w:tbl>
      <w:tblPr>
        <w:tblW w:w="0" w:type="auto"/>
        <w:tblInd w:w="108" w:type="dxa"/>
        <w:tblLayout w:type="fixed"/>
        <w:tblLook w:val="04A0" w:firstRow="1" w:lastRow="0" w:firstColumn="1" w:lastColumn="0" w:noHBand="0" w:noVBand="1"/>
      </w:tblPr>
      <w:tblGrid>
        <w:gridCol w:w="3096"/>
        <w:gridCol w:w="3096"/>
        <w:gridCol w:w="3096"/>
      </w:tblGrid>
      <w:tr w:rsidR="005015A2" w:rsidRPr="00633519" w:rsidTr="0034412D">
        <w:trPr>
          <w:trHeight w:val="1154"/>
        </w:trPr>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w:t>
            </w:r>
          </w:p>
          <w:p w:rsidR="005015A2" w:rsidRPr="00633519" w:rsidRDefault="005015A2" w:rsidP="005015A2">
            <w:pPr>
              <w:rPr>
                <w:rFonts w:eastAsia="Calibri"/>
                <w:lang w:eastAsia="en-US"/>
              </w:rPr>
            </w:pPr>
            <w:r w:rsidRPr="00633519">
              <w:rPr>
                <w:rFonts w:eastAsia="Calibri"/>
                <w:lang w:eastAsia="en-US"/>
              </w:rPr>
              <w:t>podpis zdającego</w:t>
            </w:r>
          </w:p>
        </w:tc>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……………………………………podpis obejmującego</w:t>
            </w:r>
          </w:p>
        </w:tc>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w:t>
            </w:r>
          </w:p>
          <w:p w:rsidR="005015A2" w:rsidRPr="00633519" w:rsidRDefault="005015A2" w:rsidP="005015A2">
            <w:pPr>
              <w:rPr>
                <w:rFonts w:eastAsia="Calibri"/>
                <w:lang w:eastAsia="en-US"/>
              </w:rPr>
            </w:pPr>
            <w:r w:rsidRPr="00633519">
              <w:rPr>
                <w:rFonts w:eastAsia="Calibri"/>
                <w:lang w:eastAsia="en-US"/>
              </w:rPr>
              <w:t>podpis bezpośredniego przełożonego</w:t>
            </w:r>
          </w:p>
        </w:tc>
      </w:tr>
    </w:tbl>
    <w:p w:rsidR="005015A2" w:rsidRPr="00633519" w:rsidRDefault="005015A2" w:rsidP="005015A2">
      <w:pPr>
        <w:rPr>
          <w:sz w:val="12"/>
          <w:szCs w:val="12"/>
          <w:lang w:eastAsia="pl-PL"/>
        </w:rPr>
      </w:pPr>
    </w:p>
    <w:p w:rsidR="005015A2" w:rsidRPr="00633519" w:rsidRDefault="005015A2" w:rsidP="005015A2">
      <w:pPr>
        <w:rPr>
          <w:sz w:val="12"/>
          <w:szCs w:val="12"/>
        </w:rPr>
      </w:pPr>
    </w:p>
    <w:p w:rsidR="005015A2" w:rsidRPr="00633519" w:rsidRDefault="005015A2" w:rsidP="005015A2">
      <w:r w:rsidRPr="00633519">
        <w:t>*dotyczy tylko komisyjnego przekazania obowiązków</w:t>
      </w:r>
    </w:p>
    <w:p w:rsidR="005015A2" w:rsidRPr="005015A2" w:rsidRDefault="005015A2" w:rsidP="005015A2">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5015A2">
        <w:rPr>
          <w:b/>
          <w:sz w:val="24"/>
          <w:szCs w:val="24"/>
        </w:rPr>
        <w:t>2</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3. Treść notatki zamieszcza się w terminie 14 dni od dnia przeprowadzenia kontaktu w wewnętrznej sieci elektronicznej w </w:t>
      </w:r>
      <w:bookmarkStart w:id="0" w:name="_GoBack"/>
      <w:r w:rsidRPr="005C587E">
        <w:rPr>
          <w:sz w:val="23"/>
          <w:szCs w:val="23"/>
        </w:rPr>
        <w:t>zakł</w:t>
      </w:r>
      <w:bookmarkEnd w:id="0"/>
      <w:r w:rsidRPr="005C587E">
        <w:rPr>
          <w:sz w:val="23"/>
          <w:szCs w:val="23"/>
        </w:rPr>
        <w:t>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962" w:rsidRDefault="00BC1962">
      <w:r>
        <w:separator/>
      </w:r>
    </w:p>
  </w:endnote>
  <w:endnote w:type="continuationSeparator" w:id="0">
    <w:p w:rsidR="00BC1962" w:rsidRDefault="00BC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962" w:rsidRDefault="00BC1962">
    <w:pPr>
      <w:pStyle w:val="Stopka"/>
      <w:jc w:val="center"/>
    </w:pPr>
    <w:r>
      <w:fldChar w:fldCharType="begin"/>
    </w:r>
    <w:r>
      <w:instrText xml:space="preserve"> PAGE </w:instrText>
    </w:r>
    <w:r>
      <w:fldChar w:fldCharType="separate"/>
    </w:r>
    <w:r w:rsidR="00B47B3F">
      <w:rPr>
        <w:noProof/>
      </w:rPr>
      <w:t>17</w:t>
    </w:r>
    <w:r>
      <w:fldChar w:fldCharType="end"/>
    </w:r>
  </w:p>
  <w:p w:rsidR="00BC1962" w:rsidRDefault="00BC1962">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962" w:rsidRDefault="00BC196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962" w:rsidRDefault="00BC1962">
      <w:r>
        <w:separator/>
      </w:r>
    </w:p>
  </w:footnote>
  <w:footnote w:type="continuationSeparator" w:id="0">
    <w:p w:rsidR="00BC1962" w:rsidRDefault="00BC19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1"/>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num>
  <w:num w:numId="26">
    <w:abstractNumId w:val="23"/>
  </w:num>
  <w:num w:numId="27">
    <w:abstractNumId w:val="26"/>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29F4"/>
    <w:rsid w:val="000A363E"/>
    <w:rsid w:val="000E7A2A"/>
    <w:rsid w:val="00134C51"/>
    <w:rsid w:val="00186972"/>
    <w:rsid w:val="00216CBF"/>
    <w:rsid w:val="00244910"/>
    <w:rsid w:val="002707D2"/>
    <w:rsid w:val="002D217C"/>
    <w:rsid w:val="00342E05"/>
    <w:rsid w:val="0034412D"/>
    <w:rsid w:val="00366E91"/>
    <w:rsid w:val="003714EC"/>
    <w:rsid w:val="003953DE"/>
    <w:rsid w:val="003C461B"/>
    <w:rsid w:val="004271D5"/>
    <w:rsid w:val="0044543E"/>
    <w:rsid w:val="00467103"/>
    <w:rsid w:val="00496A41"/>
    <w:rsid w:val="005015A2"/>
    <w:rsid w:val="00517AF4"/>
    <w:rsid w:val="00563704"/>
    <w:rsid w:val="005B359A"/>
    <w:rsid w:val="005C57C8"/>
    <w:rsid w:val="0061054B"/>
    <w:rsid w:val="00633519"/>
    <w:rsid w:val="00695DC2"/>
    <w:rsid w:val="006D3103"/>
    <w:rsid w:val="007023A5"/>
    <w:rsid w:val="007105EF"/>
    <w:rsid w:val="00793FD6"/>
    <w:rsid w:val="007D0E1E"/>
    <w:rsid w:val="00891FCF"/>
    <w:rsid w:val="00896F1E"/>
    <w:rsid w:val="008D4C67"/>
    <w:rsid w:val="00924715"/>
    <w:rsid w:val="009250CB"/>
    <w:rsid w:val="009266CE"/>
    <w:rsid w:val="009A21AB"/>
    <w:rsid w:val="009A488B"/>
    <w:rsid w:val="009F75BE"/>
    <w:rsid w:val="00A74E67"/>
    <w:rsid w:val="00B47B3F"/>
    <w:rsid w:val="00BC1962"/>
    <w:rsid w:val="00C7384B"/>
    <w:rsid w:val="00CD650A"/>
    <w:rsid w:val="00D46BA8"/>
    <w:rsid w:val="00E96B56"/>
    <w:rsid w:val="00EA1B95"/>
    <w:rsid w:val="00EB5408"/>
    <w:rsid w:val="00EF7D1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B77F6"/>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17</Pages>
  <Words>6961</Words>
  <Characters>41772</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34</cp:revision>
  <cp:lastPrinted>2018-08-24T09:43:00Z</cp:lastPrinted>
  <dcterms:created xsi:type="dcterms:W3CDTF">2018-08-22T06:38:00Z</dcterms:created>
  <dcterms:modified xsi:type="dcterms:W3CDTF">2019-11-04T07:49:00Z</dcterms:modified>
</cp:coreProperties>
</file>