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3B" w:rsidRDefault="00BE1E3B" w:rsidP="00BE1E3B">
      <w:pPr>
        <w:jc w:val="right"/>
        <w:rPr>
          <w:b/>
          <w:sz w:val="24"/>
        </w:rPr>
      </w:pPr>
      <w:r>
        <w:rPr>
          <w:sz w:val="24"/>
        </w:rPr>
        <w:tab/>
      </w:r>
      <w:r>
        <w:rPr>
          <w:sz w:val="24"/>
        </w:rPr>
        <w:tab/>
      </w:r>
      <w:r>
        <w:rPr>
          <w:sz w:val="24"/>
        </w:rPr>
        <w:tab/>
      </w:r>
      <w:r>
        <w:rPr>
          <w:b/>
          <w:sz w:val="24"/>
        </w:rPr>
        <w:t>Załącznik nr 1a</w:t>
      </w:r>
    </w:p>
    <w:p w:rsidR="00BE1E3B" w:rsidRDefault="00BE1E3B" w:rsidP="00BE1E3B">
      <w:pPr>
        <w:jc w:val="center"/>
        <w:rPr>
          <w:sz w:val="24"/>
        </w:rPr>
      </w:pPr>
      <w:r>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BE1E3B" w:rsidRDefault="009250CB" w:rsidP="009250CB">
      <w:pPr>
        <w:jc w:val="both"/>
        <w:rPr>
          <w:sz w:val="24"/>
        </w:rPr>
      </w:pPr>
      <w:r w:rsidRPr="00593BF6">
        <w:rPr>
          <w:sz w:val="24"/>
        </w:rPr>
        <w:t xml:space="preserve">Zawarta w dniu </w:t>
      </w:r>
      <w:r w:rsidR="00BE1E3B">
        <w:rPr>
          <w:b/>
          <w:sz w:val="24"/>
        </w:rPr>
        <w:t>……….</w:t>
      </w:r>
      <w:r w:rsidR="000E330B">
        <w:rPr>
          <w:b/>
          <w:sz w:val="24"/>
        </w:rPr>
        <w:t>.</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E1E3B" w:rsidRPr="00BE1E3B">
        <w:rPr>
          <w:sz w:val="24"/>
        </w:rPr>
        <w:t>…………………………..</w:t>
      </w:r>
      <w:r w:rsidR="00E02D81" w:rsidRPr="00BE1E3B">
        <w:rPr>
          <w:sz w:val="24"/>
        </w:rPr>
        <w:t>reprezentowanym przez</w:t>
      </w:r>
      <w:r w:rsidR="000E330B" w:rsidRPr="00BE1E3B">
        <w:rPr>
          <w:sz w:val="24"/>
        </w:rPr>
        <w:t xml:space="preserve"> </w:t>
      </w:r>
      <w:r w:rsidR="00BE1E3B" w:rsidRPr="00BE1E3B">
        <w:rPr>
          <w:sz w:val="24"/>
        </w:rPr>
        <w:t>………………..</w:t>
      </w:r>
      <w:r w:rsidR="000E330B" w:rsidRPr="00BE1E3B">
        <w:rPr>
          <w:sz w:val="24"/>
        </w:rPr>
        <w:t xml:space="preserve">– </w:t>
      </w:r>
      <w:r w:rsidRPr="00BE1E3B">
        <w:rPr>
          <w:sz w:val="24"/>
        </w:rPr>
        <w:t>wpisan</w:t>
      </w:r>
      <w:r w:rsidR="000E330B" w:rsidRPr="00BE1E3B">
        <w:rPr>
          <w:sz w:val="24"/>
        </w:rPr>
        <w:t>ą</w:t>
      </w:r>
      <w:r w:rsidRPr="00BE1E3B">
        <w:rPr>
          <w:sz w:val="24"/>
        </w:rPr>
        <w:t xml:space="preserve"> w dniu </w:t>
      </w:r>
      <w:r w:rsidR="00BE1E3B" w:rsidRPr="00BE1E3B">
        <w:rPr>
          <w:sz w:val="24"/>
        </w:rPr>
        <w:t>…………..</w:t>
      </w:r>
      <w:r w:rsidR="000E330B" w:rsidRPr="00BE1E3B">
        <w:rPr>
          <w:sz w:val="24"/>
        </w:rPr>
        <w:t xml:space="preserve"> do rejestru podmiotów wykonujących działalność leczniczą pod nr księgi rejestrowej</w:t>
      </w:r>
      <w:r w:rsidR="000E330B" w:rsidRPr="00BE1E3B">
        <w:rPr>
          <w:sz w:val="24"/>
          <w:szCs w:val="24"/>
        </w:rPr>
        <w:t xml:space="preserve"> </w:t>
      </w:r>
      <w:r w:rsidR="00BE1E3B" w:rsidRPr="00BE1E3B">
        <w:rPr>
          <w:sz w:val="24"/>
          <w:szCs w:val="24"/>
        </w:rPr>
        <w:t>………….</w:t>
      </w:r>
      <w:r w:rsidR="000E330B" w:rsidRPr="00BE1E3B">
        <w:rPr>
          <w:sz w:val="24"/>
          <w:szCs w:val="24"/>
        </w:rPr>
        <w:t xml:space="preserve"> </w:t>
      </w:r>
      <w:r w:rsidR="000E330B" w:rsidRPr="00BE1E3B">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C0269C">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0E330B" w:rsidRDefault="000E330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FA3E4F" w:rsidRPr="00FA3E4F">
        <w:rPr>
          <w:bCs/>
          <w:color w:val="000000"/>
          <w:sz w:val="24"/>
          <w:szCs w:val="24"/>
          <w:u w:val="single"/>
          <w:lang w:eastAsia="en-US"/>
        </w:rPr>
        <w:t xml:space="preserve">pediatrii w Przychodni POZ Wrocław ul. Róży Wiatrów 11B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BE1E3B" w:rsidRPr="00C62E94" w:rsidRDefault="00BE1E3B" w:rsidP="00BE1E3B">
      <w:pPr>
        <w:numPr>
          <w:ilvl w:val="0"/>
          <w:numId w:val="22"/>
        </w:numPr>
        <w:jc w:val="both"/>
        <w:rPr>
          <w:sz w:val="24"/>
          <w:szCs w:val="24"/>
          <w:lang w:eastAsia="pl-PL"/>
        </w:rPr>
      </w:pPr>
      <w:r>
        <w:rPr>
          <w:sz w:val="24"/>
          <w:szCs w:val="24"/>
        </w:rPr>
        <w:t xml:space="preserve">udzielanie </w:t>
      </w:r>
      <w:r w:rsidR="0086155D">
        <w:rPr>
          <w:sz w:val="24"/>
          <w:szCs w:val="24"/>
        </w:rPr>
        <w:t>porad lekarskich dzieciom</w:t>
      </w:r>
    </w:p>
    <w:p w:rsidR="00BE1E3B" w:rsidRPr="00EC2447" w:rsidRDefault="0086155D" w:rsidP="00BE1E3B">
      <w:pPr>
        <w:numPr>
          <w:ilvl w:val="0"/>
          <w:numId w:val="22"/>
        </w:numPr>
        <w:jc w:val="both"/>
        <w:rPr>
          <w:sz w:val="24"/>
          <w:szCs w:val="24"/>
          <w:lang w:eastAsia="pl-PL"/>
        </w:rPr>
      </w:pPr>
      <w:r>
        <w:rPr>
          <w:sz w:val="24"/>
          <w:szCs w:val="24"/>
        </w:rPr>
        <w:t>prowadzenie szczepień ochronnych</w:t>
      </w:r>
      <w:r w:rsidR="00BE1E3B" w:rsidRPr="00EC2447">
        <w:rPr>
          <w:sz w:val="24"/>
          <w:szCs w:val="24"/>
        </w:rPr>
        <w:t>,</w:t>
      </w:r>
    </w:p>
    <w:p w:rsidR="0070415F" w:rsidRDefault="0070415F" w:rsidP="00BE1E3B">
      <w:pPr>
        <w:numPr>
          <w:ilvl w:val="0"/>
          <w:numId w:val="22"/>
        </w:numPr>
        <w:jc w:val="both"/>
        <w:rPr>
          <w:sz w:val="24"/>
          <w:szCs w:val="24"/>
          <w:lang w:eastAsia="pl-PL"/>
        </w:rPr>
      </w:pPr>
      <w:r>
        <w:rPr>
          <w:sz w:val="24"/>
          <w:szCs w:val="24"/>
          <w:lang w:eastAsia="pl-PL"/>
        </w:rPr>
        <w:t xml:space="preserve">prowadzenie </w:t>
      </w:r>
      <w:proofErr w:type="spellStart"/>
      <w:r w:rsidR="00D52CC2">
        <w:rPr>
          <w:sz w:val="24"/>
          <w:szCs w:val="24"/>
          <w:lang w:eastAsia="pl-PL"/>
        </w:rPr>
        <w:t>dyspanseryzacji</w:t>
      </w:r>
      <w:proofErr w:type="spellEnd"/>
      <w:r w:rsidR="00D52CC2">
        <w:rPr>
          <w:sz w:val="24"/>
          <w:szCs w:val="24"/>
          <w:lang w:eastAsia="pl-PL"/>
        </w:rPr>
        <w:t xml:space="preserve"> wśród dzieci</w:t>
      </w:r>
    </w:p>
    <w:p w:rsidR="0031482A" w:rsidRPr="005971A1" w:rsidRDefault="0031482A" w:rsidP="00B9334F">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70415F" w:rsidRPr="0070415F">
        <w:rPr>
          <w:bCs/>
          <w:sz w:val="24"/>
          <w:szCs w:val="24"/>
          <w:lang w:eastAsia="en-US"/>
        </w:rPr>
        <w:t xml:space="preserve">Przychodni POZ Wrocław ul. Róży Wiatrów 11B </w:t>
      </w:r>
      <w:r w:rsidR="004526BE" w:rsidRPr="00047887">
        <w:rPr>
          <w:sz w:val="24"/>
        </w:rPr>
        <w:t xml:space="preserve">( zwanych dalej </w:t>
      </w:r>
      <w:r w:rsidR="0070415F">
        <w:rPr>
          <w:sz w:val="24"/>
        </w:rPr>
        <w:t>przychodnią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w:t>
      </w:r>
      <w:r w:rsidR="00D52CC2" w:rsidRPr="0070415F">
        <w:rPr>
          <w:bCs/>
          <w:sz w:val="24"/>
          <w:szCs w:val="24"/>
          <w:lang w:eastAsia="en-US"/>
        </w:rPr>
        <w:t>Przychodni POZ Wrocław ul. Róży Wiatrów 11B</w:t>
      </w:r>
      <w:r w:rsidR="00047887" w:rsidRPr="00047887">
        <w:rPr>
          <w:sz w:val="24"/>
        </w:rPr>
        <w:t xml:space="preserve"> </w:t>
      </w:r>
      <w:r w:rsidR="00BE1E3B" w:rsidRPr="00BE1E3B">
        <w:rPr>
          <w:b/>
          <w:sz w:val="24"/>
        </w:rPr>
        <w:t>( min. 12 godz. w miesiącu, max. 50 godz. 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312338" w:rsidRDefault="00312338"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D52CC2">
        <w:rPr>
          <w:sz w:val="24"/>
        </w:rPr>
        <w:t>przychodnia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D52CC2">
        <w:rPr>
          <w:sz w:val="24"/>
        </w:rPr>
        <w:t>przychodni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sidR="00D52CC2">
        <w:rPr>
          <w:bCs/>
          <w:sz w:val="24"/>
          <w:szCs w:val="24"/>
        </w:rPr>
        <w:t>przychodni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 xml:space="preserve">Przyjmujący </w:t>
      </w:r>
      <w:r w:rsidR="00B93743">
        <w:rPr>
          <w:sz w:val="24"/>
        </w:rPr>
        <w:t>zamówienie oświadcza, iż wiadomym mu jest, że Udzielający zamówienia zawarł analogicznie umowy z innymi lekarzami prowadzącymi indywidualne praktyki</w:t>
      </w:r>
      <w:r w:rsidR="00B93743">
        <w:rPr>
          <w:i/>
          <w:sz w:val="24"/>
        </w:rPr>
        <w:t xml:space="preserve"> </w:t>
      </w:r>
      <w:r w:rsidR="00B93743">
        <w:rPr>
          <w:sz w:val="24"/>
        </w:rPr>
        <w:t>lekarskie i nie wnosi do tego żadnych zastrzeżeń.</w:t>
      </w:r>
      <w:r w:rsidR="00B93743">
        <w:rPr>
          <w:i/>
          <w:sz w:val="24"/>
        </w:rPr>
        <w:t xml:space="preserve"> </w:t>
      </w:r>
      <w:r w:rsidR="00B93743">
        <w:rPr>
          <w:sz w:val="24"/>
        </w:rPr>
        <w:t>Funkcję koordynatora działalności wszystkich świadczeniodawców pełnić będzie Kierownik Lecznictwa Otwartego</w:t>
      </w:r>
      <w:r w:rsidR="00B93743">
        <w:rPr>
          <w:sz w:val="24"/>
          <w:szCs w:val="24"/>
        </w:rPr>
        <w:t xml:space="preserve"> lub osoba przez niego wyznaczona, który</w:t>
      </w:r>
      <w:r w:rsidR="00B93743">
        <w:rPr>
          <w:sz w:val="24"/>
        </w:rPr>
        <w:t xml:space="preserve"> w sprawach związanych z funkcjonowaniem </w:t>
      </w:r>
      <w:r w:rsidR="00D52CC2">
        <w:rPr>
          <w:bCs/>
          <w:sz w:val="24"/>
          <w:szCs w:val="24"/>
        </w:rPr>
        <w:t>przychodni</w:t>
      </w:r>
      <w:r w:rsidR="00B9374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00B93743">
        <w:rPr>
          <w:color w:val="000000"/>
          <w:sz w:val="24"/>
          <w:szCs w:val="24"/>
        </w:rPr>
        <w:t xml:space="preserve"> </w:t>
      </w:r>
      <w:r w:rsidR="00D52CC2">
        <w:rPr>
          <w:bCs/>
          <w:sz w:val="24"/>
          <w:szCs w:val="24"/>
        </w:rPr>
        <w:t>przychodni</w:t>
      </w:r>
      <w:r w:rsidR="00B93743">
        <w:rPr>
          <w:color w:val="000000"/>
          <w:sz w:val="24"/>
          <w:szCs w:val="24"/>
        </w:rPr>
        <w:t>.</w:t>
      </w:r>
    </w:p>
    <w:p w:rsidR="000E330B" w:rsidRDefault="000E330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lastRenderedPageBreak/>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12338" w:rsidRDefault="00312338"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bookmarkStart w:id="0" w:name="_GoBack"/>
      <w:r w:rsidR="005E79D7">
        <w:rPr>
          <w:sz w:val="24"/>
          <w:szCs w:val="24"/>
        </w:rPr>
        <w:t>2190</w:t>
      </w:r>
      <w:bookmarkEnd w:id="0"/>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F2105" w:rsidRPr="005F2105" w:rsidRDefault="005F2105" w:rsidP="005F2105">
      <w:pPr>
        <w:numPr>
          <w:ilvl w:val="0"/>
          <w:numId w:val="12"/>
        </w:numPr>
        <w:jc w:val="both"/>
        <w:rPr>
          <w:sz w:val="24"/>
        </w:rPr>
      </w:pPr>
      <w:r w:rsidRPr="005F2105">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312338" w:rsidRPr="00544D95" w:rsidRDefault="00312338" w:rsidP="00312338">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312338" w:rsidRPr="00AC6DA0" w:rsidRDefault="00312338" w:rsidP="00312338">
      <w:pPr>
        <w:pStyle w:val="Akapitzlist"/>
        <w:shd w:val="clear" w:color="auto" w:fill="FFFFFF" w:themeFill="background1"/>
        <w:ind w:left="709"/>
        <w:jc w:val="both"/>
        <w:rPr>
          <w:b/>
          <w:sz w:val="24"/>
        </w:rPr>
      </w:pPr>
      <w:r w:rsidRPr="00AC6DA0">
        <w:rPr>
          <w:b/>
          <w:sz w:val="24"/>
        </w:rPr>
        <w:t xml:space="preserve">………… zł brutto za 1 godzinę </w:t>
      </w:r>
      <w:r w:rsidRPr="00AC6DA0">
        <w:rPr>
          <w:sz w:val="24"/>
        </w:rPr>
        <w:t>(słownie: …………….złotych brutto).</w:t>
      </w:r>
    </w:p>
    <w:p w:rsidR="00312338" w:rsidRDefault="00312338" w:rsidP="00312338">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312338" w:rsidRPr="00825D7A" w:rsidRDefault="00312338" w:rsidP="00312338">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312338" w:rsidRPr="00825D7A" w:rsidRDefault="00312338" w:rsidP="00312338">
      <w:pPr>
        <w:tabs>
          <w:tab w:val="left" w:pos="3899"/>
          <w:tab w:val="center" w:pos="4781"/>
        </w:tabs>
        <w:ind w:left="397"/>
        <w:rPr>
          <w:b/>
          <w:bCs/>
          <w:sz w:val="24"/>
        </w:rPr>
      </w:pPr>
      <w:r w:rsidRPr="00825D7A">
        <w:rPr>
          <w:sz w:val="24"/>
        </w:rPr>
        <w:t xml:space="preserve">z Udzielającym Zamówienie opisanym w § 36. </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E0FC7" w:rsidRPr="00C12EE4">
        <w:rPr>
          <w:sz w:val="24"/>
        </w:rPr>
        <w:t>Kierownika Lecznictwa Otwartego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93743" w:rsidRDefault="00B93743"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5F2105" w:rsidRDefault="005F2105"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312338" w:rsidRDefault="00312338" w:rsidP="009250CB">
      <w:pPr>
        <w:jc w:val="center"/>
        <w:rPr>
          <w:sz w:val="24"/>
        </w:rPr>
      </w:pPr>
    </w:p>
    <w:p w:rsidR="005F2105" w:rsidRDefault="005F2105"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9E0FC7">
        <w:rPr>
          <w:b/>
          <w:sz w:val="24"/>
        </w:rPr>
        <w:t>01.0</w:t>
      </w:r>
      <w:r w:rsidR="00312338">
        <w:rPr>
          <w:b/>
          <w:sz w:val="24"/>
        </w:rPr>
        <w:t>6</w:t>
      </w:r>
      <w:r w:rsidR="009E0FC7">
        <w:rPr>
          <w:b/>
          <w:sz w:val="24"/>
        </w:rPr>
        <w:t>.2019r.</w:t>
      </w:r>
      <w:r>
        <w:rPr>
          <w:sz w:val="24"/>
        </w:rPr>
        <w:t xml:space="preserve"> do </w:t>
      </w:r>
      <w:r w:rsidR="00312338">
        <w:rPr>
          <w:b/>
          <w:sz w:val="24"/>
        </w:rPr>
        <w:t>31.05</w:t>
      </w:r>
      <w:r w:rsidR="009E0FC7">
        <w:rPr>
          <w:b/>
          <w:sz w:val="24"/>
        </w:rPr>
        <w:t>.202</w:t>
      </w:r>
      <w:r w:rsidR="00312338">
        <w:rPr>
          <w:b/>
          <w:sz w:val="24"/>
        </w:rPr>
        <w:t>2</w:t>
      </w:r>
      <w:r w:rsidR="009E0FC7">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47887" w:rsidRDefault="0004788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312338" w:rsidRDefault="00312338" w:rsidP="00312338">
      <w:pPr>
        <w:jc w:val="center"/>
        <w:rPr>
          <w:sz w:val="24"/>
        </w:rPr>
      </w:pPr>
      <w:r>
        <w:rPr>
          <w:sz w:val="24"/>
        </w:rPr>
        <w:t>§ 28</w:t>
      </w:r>
    </w:p>
    <w:p w:rsidR="00312338" w:rsidRDefault="00312338" w:rsidP="00312338">
      <w:pPr>
        <w:jc w:val="both"/>
        <w:rPr>
          <w:sz w:val="24"/>
        </w:rPr>
      </w:pPr>
      <w:r>
        <w:rPr>
          <w:sz w:val="24"/>
        </w:rPr>
        <w:t>1.Przyjmujący zamówienie zapłaci Udzielającemu zamówienie kary umowne:</w:t>
      </w:r>
    </w:p>
    <w:p w:rsidR="00312338" w:rsidRDefault="00312338" w:rsidP="00312338">
      <w:pPr>
        <w:numPr>
          <w:ilvl w:val="0"/>
          <w:numId w:val="3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312338" w:rsidRDefault="00312338" w:rsidP="00312338">
      <w:pPr>
        <w:jc w:val="both"/>
        <w:rPr>
          <w:sz w:val="24"/>
        </w:rPr>
      </w:pPr>
      <w:r>
        <w:rPr>
          <w:sz w:val="24"/>
        </w:rPr>
        <w:t xml:space="preserve">            w § 19 pkt. 1 za każdy dzień nieobecności.</w:t>
      </w:r>
    </w:p>
    <w:p w:rsidR="00312338" w:rsidRDefault="00312338" w:rsidP="00312338">
      <w:pPr>
        <w:numPr>
          <w:ilvl w:val="0"/>
          <w:numId w:val="3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312338" w:rsidRDefault="00312338" w:rsidP="00312338">
      <w:pPr>
        <w:numPr>
          <w:ilvl w:val="0"/>
          <w:numId w:val="3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312338" w:rsidRDefault="00312338" w:rsidP="00312338">
      <w:pPr>
        <w:numPr>
          <w:ilvl w:val="0"/>
          <w:numId w:val="31"/>
        </w:numPr>
        <w:jc w:val="both"/>
        <w:rPr>
          <w:sz w:val="24"/>
        </w:rPr>
      </w:pPr>
      <w:r>
        <w:rPr>
          <w:sz w:val="24"/>
        </w:rPr>
        <w:t>Za uzasadnioną skargę pacjenta – w wysokości kwoty równej 10 - krotności stawki godzinowej określonej w § 19 pkt. 1.</w:t>
      </w:r>
    </w:p>
    <w:p w:rsidR="00312338" w:rsidRDefault="00312338" w:rsidP="00312338">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312338">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312338" w:rsidRDefault="0031233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312338" w:rsidRDefault="00312338" w:rsidP="009250CB">
      <w:pPr>
        <w:jc w:val="center"/>
        <w:rPr>
          <w:sz w:val="24"/>
        </w:rPr>
      </w:pPr>
    </w:p>
    <w:p w:rsidR="00312338" w:rsidRDefault="0031233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12338" w:rsidRDefault="0031233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312338" w:rsidRDefault="00312338"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312338" w:rsidRDefault="00312338" w:rsidP="009250CB">
      <w:pPr>
        <w:jc w:val="center"/>
        <w:rPr>
          <w:sz w:val="24"/>
        </w:rPr>
      </w:pPr>
    </w:p>
    <w:p w:rsidR="00312338" w:rsidRDefault="00312338"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2E7F54" w:rsidRDefault="002E7F54"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312338" w:rsidRDefault="00312338"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E79D7">
      <w:rPr>
        <w:noProof/>
      </w:rPr>
      <w:t>15</w:t>
    </w:r>
    <w:r>
      <w:fldChar w:fldCharType="end"/>
    </w:r>
  </w:p>
  <w:p w:rsidR="00E730D8" w:rsidRDefault="005E79D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E79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0E330B"/>
    <w:rsid w:val="00110CD8"/>
    <w:rsid w:val="00157974"/>
    <w:rsid w:val="00186972"/>
    <w:rsid w:val="002707D2"/>
    <w:rsid w:val="002B1B14"/>
    <w:rsid w:val="002E7F54"/>
    <w:rsid w:val="00312338"/>
    <w:rsid w:val="0031482A"/>
    <w:rsid w:val="003812EF"/>
    <w:rsid w:val="004136B9"/>
    <w:rsid w:val="00421C51"/>
    <w:rsid w:val="004526BE"/>
    <w:rsid w:val="00467103"/>
    <w:rsid w:val="00505EA1"/>
    <w:rsid w:val="00523AFB"/>
    <w:rsid w:val="00562883"/>
    <w:rsid w:val="0056388C"/>
    <w:rsid w:val="005B021E"/>
    <w:rsid w:val="005D3D0B"/>
    <w:rsid w:val="005E79D7"/>
    <w:rsid w:val="005F2105"/>
    <w:rsid w:val="006304CD"/>
    <w:rsid w:val="00655ED7"/>
    <w:rsid w:val="006632F9"/>
    <w:rsid w:val="00673274"/>
    <w:rsid w:val="006B63B9"/>
    <w:rsid w:val="006C0FB0"/>
    <w:rsid w:val="006C17FA"/>
    <w:rsid w:val="006E49D1"/>
    <w:rsid w:val="0070415F"/>
    <w:rsid w:val="00705261"/>
    <w:rsid w:val="007071AF"/>
    <w:rsid w:val="0073266E"/>
    <w:rsid w:val="00794D0F"/>
    <w:rsid w:val="007E0F19"/>
    <w:rsid w:val="00836D2C"/>
    <w:rsid w:val="0086155D"/>
    <w:rsid w:val="008C10FD"/>
    <w:rsid w:val="009250CB"/>
    <w:rsid w:val="009939C1"/>
    <w:rsid w:val="009E0FC7"/>
    <w:rsid w:val="00A30782"/>
    <w:rsid w:val="00A366FC"/>
    <w:rsid w:val="00A90041"/>
    <w:rsid w:val="00AA1BA3"/>
    <w:rsid w:val="00AC5D60"/>
    <w:rsid w:val="00B30DDE"/>
    <w:rsid w:val="00B630F8"/>
    <w:rsid w:val="00B9334F"/>
    <w:rsid w:val="00B93743"/>
    <w:rsid w:val="00BE1E3B"/>
    <w:rsid w:val="00BF3AA7"/>
    <w:rsid w:val="00C0269C"/>
    <w:rsid w:val="00C45A82"/>
    <w:rsid w:val="00C555C1"/>
    <w:rsid w:val="00D33D85"/>
    <w:rsid w:val="00D52CC2"/>
    <w:rsid w:val="00E02D81"/>
    <w:rsid w:val="00E93988"/>
    <w:rsid w:val="00F228F0"/>
    <w:rsid w:val="00F77C60"/>
    <w:rsid w:val="00FA3E4F"/>
    <w:rsid w:val="00FE0526"/>
    <w:rsid w:val="00FE3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17A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1512253530">
      <w:bodyDiv w:val="1"/>
      <w:marLeft w:val="0"/>
      <w:marRight w:val="0"/>
      <w:marTop w:val="0"/>
      <w:marBottom w:val="0"/>
      <w:divBdr>
        <w:top w:val="none" w:sz="0" w:space="0" w:color="auto"/>
        <w:left w:val="none" w:sz="0" w:space="0" w:color="auto"/>
        <w:bottom w:val="none" w:sz="0" w:space="0" w:color="auto"/>
        <w:right w:val="none" w:sz="0" w:space="0" w:color="auto"/>
      </w:divBdr>
    </w:div>
    <w:div w:id="2005931403">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FE67-85F9-4786-8E0F-983BF457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6296</Words>
  <Characters>37776</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12</cp:revision>
  <cp:lastPrinted>2018-09-20T12:25:00Z</cp:lastPrinted>
  <dcterms:created xsi:type="dcterms:W3CDTF">2018-12-13T09:12:00Z</dcterms:created>
  <dcterms:modified xsi:type="dcterms:W3CDTF">2019-03-22T09:58:00Z</dcterms:modified>
</cp:coreProperties>
</file>